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314" w:rsidRPr="005B08EC" w:rsidRDefault="003F6314" w:rsidP="003F6314">
      <w:pPr>
        <w:pStyle w:val="Title"/>
        <w:spacing w:before="100" w:beforeAutospacing="1" w:after="100" w:afterAutospacing="1" w:line="480" w:lineRule="auto"/>
        <w:jc w:val="center"/>
        <w:rPr>
          <w:rFonts w:ascii="Times New Roman" w:hAnsi="Times New Roman"/>
          <w:b/>
          <w:sz w:val="24"/>
          <w:szCs w:val="24"/>
          <w:lang w:val="en-US"/>
        </w:rPr>
      </w:pPr>
      <w:bookmarkStart w:id="0" w:name="OLE_LINK55"/>
      <w:bookmarkStart w:id="1" w:name="OLE_LINK56"/>
      <w:bookmarkStart w:id="2" w:name="OLE_LINK57"/>
      <w:bookmarkStart w:id="3" w:name="_GoBack"/>
      <w:r w:rsidRPr="005B08EC">
        <w:rPr>
          <w:rFonts w:ascii="Times New Roman" w:hAnsi="Times New Roman"/>
          <w:b/>
          <w:sz w:val="24"/>
          <w:szCs w:val="24"/>
          <w:lang w:val="en-US"/>
        </w:rPr>
        <w:t>Supplemental Material</w:t>
      </w:r>
    </w:p>
    <w:bookmarkEnd w:id="0"/>
    <w:bookmarkEnd w:id="1"/>
    <w:bookmarkEnd w:id="2"/>
    <w:p w:rsidR="003F6314" w:rsidRPr="005B08EC" w:rsidRDefault="003F6314" w:rsidP="003F6314">
      <w:pPr>
        <w:rPr>
          <w:lang w:val="en-US"/>
        </w:rPr>
      </w:pPr>
    </w:p>
    <w:p w:rsidR="00466990" w:rsidRPr="005B08EC" w:rsidRDefault="00466990" w:rsidP="00466990">
      <w:pPr>
        <w:pStyle w:val="Title"/>
        <w:spacing w:before="100" w:beforeAutospacing="1" w:after="100" w:afterAutospacing="1" w:line="480" w:lineRule="auto"/>
        <w:jc w:val="center"/>
        <w:rPr>
          <w:rFonts w:ascii="Times New Roman" w:hAnsi="Times New Roman"/>
          <w:b/>
          <w:sz w:val="24"/>
          <w:szCs w:val="24"/>
          <w:lang w:val="en-US"/>
        </w:rPr>
      </w:pPr>
      <w:r w:rsidRPr="005B08EC">
        <w:rPr>
          <w:rFonts w:ascii="Times New Roman" w:hAnsi="Times New Roman"/>
          <w:b/>
          <w:sz w:val="24"/>
          <w:szCs w:val="24"/>
          <w:lang w:val="en-US"/>
        </w:rPr>
        <w:t xml:space="preserve">Reconstructing metabolic pathways of a member of the genus </w:t>
      </w:r>
      <w:r w:rsidRPr="005B08EC">
        <w:rPr>
          <w:rFonts w:ascii="Times New Roman" w:hAnsi="Times New Roman"/>
          <w:b/>
          <w:i/>
          <w:sz w:val="24"/>
          <w:szCs w:val="24"/>
          <w:lang w:val="en-US"/>
        </w:rPr>
        <w:t xml:space="preserve">Pelotomaculum </w:t>
      </w:r>
      <w:r w:rsidRPr="005B08EC">
        <w:rPr>
          <w:rFonts w:ascii="Times New Roman" w:hAnsi="Times New Roman"/>
          <w:b/>
          <w:sz w:val="24"/>
          <w:szCs w:val="24"/>
          <w:lang w:val="en-US"/>
        </w:rPr>
        <w:t>suggesting its potential to oxidize benzene to carbon dioxide with direct reduction of sulfate</w:t>
      </w:r>
    </w:p>
    <w:p w:rsidR="003F6314" w:rsidRPr="005B08EC" w:rsidRDefault="003F6314" w:rsidP="003F6314">
      <w:pPr>
        <w:spacing w:line="480" w:lineRule="auto"/>
        <w:rPr>
          <w:sz w:val="24"/>
          <w:szCs w:val="24"/>
          <w:lang w:val="en-US"/>
        </w:rPr>
      </w:pPr>
      <w:r w:rsidRPr="005B08EC">
        <w:rPr>
          <w:sz w:val="24"/>
          <w:szCs w:val="24"/>
          <w:lang w:val="en-US"/>
        </w:rPr>
        <w:t xml:space="preserve">Xiyang Dong </w:t>
      </w:r>
      <w:r w:rsidRPr="005B08EC">
        <w:rPr>
          <w:sz w:val="24"/>
          <w:szCs w:val="24"/>
          <w:vertAlign w:val="superscript"/>
          <w:lang w:val="en-US" w:eastAsia="de-DE"/>
        </w:rPr>
        <w:t>1, 2</w:t>
      </w:r>
      <w:r w:rsidRPr="005B08EC">
        <w:rPr>
          <w:sz w:val="24"/>
          <w:szCs w:val="24"/>
          <w:lang w:val="en-US"/>
        </w:rPr>
        <w:t xml:space="preserve">, Johannes Dröge </w:t>
      </w:r>
      <w:r w:rsidRPr="005B08EC">
        <w:rPr>
          <w:sz w:val="24"/>
          <w:szCs w:val="24"/>
          <w:vertAlign w:val="superscript"/>
          <w:lang w:val="en-US" w:eastAsia="de-DE"/>
        </w:rPr>
        <w:t>3</w:t>
      </w:r>
      <w:r w:rsidRPr="005B08EC">
        <w:rPr>
          <w:sz w:val="24"/>
          <w:szCs w:val="24"/>
          <w:lang w:val="en-US"/>
        </w:rPr>
        <w:t xml:space="preserve">, Christine von Toerne </w:t>
      </w:r>
      <w:r w:rsidRPr="005B08EC">
        <w:rPr>
          <w:sz w:val="24"/>
          <w:szCs w:val="24"/>
          <w:vertAlign w:val="superscript"/>
          <w:lang w:val="en-US" w:eastAsia="de-DE"/>
        </w:rPr>
        <w:t>4</w:t>
      </w:r>
      <w:r w:rsidRPr="005B08EC">
        <w:rPr>
          <w:sz w:val="24"/>
          <w:szCs w:val="24"/>
          <w:lang w:val="en-US"/>
        </w:rPr>
        <w:t xml:space="preserve">, Sviatlana Marozava </w:t>
      </w:r>
      <w:r w:rsidRPr="005B08EC">
        <w:rPr>
          <w:sz w:val="24"/>
          <w:szCs w:val="24"/>
          <w:vertAlign w:val="superscript"/>
          <w:lang w:val="en-US" w:eastAsia="de-DE"/>
        </w:rPr>
        <w:t>2</w:t>
      </w:r>
      <w:r w:rsidRPr="005B08EC">
        <w:rPr>
          <w:sz w:val="24"/>
          <w:szCs w:val="24"/>
          <w:lang w:val="en-US"/>
        </w:rPr>
        <w:t xml:space="preserve">, Alice C. McHardy </w:t>
      </w:r>
      <w:r w:rsidRPr="005B08EC">
        <w:rPr>
          <w:sz w:val="24"/>
          <w:szCs w:val="24"/>
          <w:vertAlign w:val="superscript"/>
          <w:lang w:val="en-US" w:eastAsia="de-DE"/>
        </w:rPr>
        <w:t>3</w:t>
      </w:r>
      <w:r w:rsidRPr="005B08EC">
        <w:rPr>
          <w:sz w:val="24"/>
          <w:szCs w:val="24"/>
          <w:lang w:val="en-US"/>
        </w:rPr>
        <w:t xml:space="preserve">, Rainer U. Meckenstock </w:t>
      </w:r>
      <w:r w:rsidRPr="005B08EC">
        <w:rPr>
          <w:sz w:val="24"/>
          <w:szCs w:val="24"/>
          <w:vertAlign w:val="superscript"/>
          <w:lang w:val="en-US" w:eastAsia="de-DE"/>
        </w:rPr>
        <w:t>1, *</w:t>
      </w:r>
    </w:p>
    <w:p w:rsidR="003F6314" w:rsidRPr="005B08EC" w:rsidRDefault="003F6314" w:rsidP="003F6314">
      <w:pPr>
        <w:autoSpaceDE w:val="0"/>
        <w:autoSpaceDN w:val="0"/>
        <w:adjustRightInd w:val="0"/>
        <w:spacing w:after="0" w:line="480" w:lineRule="auto"/>
        <w:ind w:right="1701"/>
        <w:rPr>
          <w:sz w:val="24"/>
          <w:szCs w:val="24"/>
          <w:lang w:val="en-US" w:eastAsia="de-DE"/>
        </w:rPr>
      </w:pPr>
      <w:r w:rsidRPr="005B08EC">
        <w:rPr>
          <w:sz w:val="24"/>
          <w:szCs w:val="24"/>
          <w:vertAlign w:val="superscript"/>
          <w:lang w:val="en-US" w:eastAsia="de-DE"/>
        </w:rPr>
        <w:t xml:space="preserve">1 </w:t>
      </w:r>
      <w:r w:rsidRPr="005B08EC">
        <w:rPr>
          <w:sz w:val="24"/>
          <w:szCs w:val="24"/>
          <w:lang w:val="en-US" w:eastAsia="de-DE"/>
        </w:rPr>
        <w:t>University of Duisburg-Essen, Biofilm Centre, Universitätsstrasse 5, 45141 Essen, Germany</w:t>
      </w:r>
    </w:p>
    <w:p w:rsidR="003F6314" w:rsidRPr="005B08EC" w:rsidRDefault="003F6314" w:rsidP="003F6314">
      <w:pPr>
        <w:autoSpaceDE w:val="0"/>
        <w:autoSpaceDN w:val="0"/>
        <w:adjustRightInd w:val="0"/>
        <w:spacing w:after="0" w:line="480" w:lineRule="auto"/>
        <w:ind w:right="1701"/>
        <w:rPr>
          <w:sz w:val="24"/>
          <w:szCs w:val="24"/>
          <w:lang w:val="en-US" w:eastAsia="de-DE"/>
        </w:rPr>
      </w:pPr>
      <w:r w:rsidRPr="005B08EC">
        <w:rPr>
          <w:sz w:val="24"/>
          <w:szCs w:val="24"/>
          <w:vertAlign w:val="superscript"/>
          <w:lang w:val="en-US" w:eastAsia="de-DE"/>
        </w:rPr>
        <w:t>2</w:t>
      </w:r>
      <w:r w:rsidRPr="005B08EC">
        <w:rPr>
          <w:sz w:val="24"/>
          <w:szCs w:val="24"/>
          <w:lang w:val="en-US" w:eastAsia="de-DE"/>
        </w:rPr>
        <w:t xml:space="preserve"> Helmholtz Zentrum München, Institute of Groundwater Ecology, Ingolstädter Landstrasse 1, 85764 Neuherberg, Germany</w:t>
      </w:r>
    </w:p>
    <w:p w:rsidR="003F6314" w:rsidRPr="005B08EC" w:rsidRDefault="003F6314" w:rsidP="003F6314">
      <w:pPr>
        <w:autoSpaceDE w:val="0"/>
        <w:autoSpaceDN w:val="0"/>
        <w:adjustRightInd w:val="0"/>
        <w:spacing w:after="0" w:line="480" w:lineRule="auto"/>
        <w:ind w:right="1701"/>
        <w:rPr>
          <w:sz w:val="24"/>
          <w:szCs w:val="24"/>
          <w:lang w:val="en-US" w:eastAsia="de-DE"/>
        </w:rPr>
      </w:pPr>
      <w:r w:rsidRPr="005B08EC">
        <w:rPr>
          <w:sz w:val="24"/>
          <w:szCs w:val="24"/>
          <w:vertAlign w:val="superscript"/>
          <w:lang w:val="en-US" w:eastAsia="de-DE"/>
        </w:rPr>
        <w:t>3</w:t>
      </w:r>
      <w:r w:rsidRPr="005B08EC">
        <w:rPr>
          <w:sz w:val="24"/>
          <w:szCs w:val="24"/>
          <w:lang w:val="en-US" w:eastAsia="de-DE"/>
        </w:rPr>
        <w:t xml:space="preserve"> Helmholtz Centre for Infection Research, Computational Biology of Infection Research, 38124, Braunschweig, Germany</w:t>
      </w:r>
    </w:p>
    <w:p w:rsidR="003F6314" w:rsidRPr="005B08EC" w:rsidRDefault="003F6314" w:rsidP="003F6314">
      <w:pPr>
        <w:autoSpaceDE w:val="0"/>
        <w:autoSpaceDN w:val="0"/>
        <w:adjustRightInd w:val="0"/>
        <w:spacing w:after="0" w:line="480" w:lineRule="auto"/>
        <w:ind w:right="1701"/>
        <w:rPr>
          <w:sz w:val="24"/>
          <w:szCs w:val="24"/>
          <w:vertAlign w:val="superscript"/>
          <w:lang w:eastAsia="de-DE"/>
        </w:rPr>
      </w:pPr>
      <w:r w:rsidRPr="005B08EC">
        <w:rPr>
          <w:sz w:val="24"/>
          <w:szCs w:val="24"/>
          <w:vertAlign w:val="superscript"/>
          <w:lang w:eastAsia="de-DE"/>
        </w:rPr>
        <w:t xml:space="preserve">4 </w:t>
      </w:r>
      <w:r w:rsidRPr="005B08EC">
        <w:rPr>
          <w:sz w:val="24"/>
          <w:szCs w:val="24"/>
          <w:lang w:eastAsia="de-DE"/>
        </w:rPr>
        <w:t>Helmholtz Zentrum München, Research Unit Protein Science, Ingolstädter Landstrasse 1, 85764 Neuherberg, Germany</w:t>
      </w:r>
      <w:r w:rsidRPr="005B08EC">
        <w:rPr>
          <w:sz w:val="24"/>
          <w:szCs w:val="24"/>
          <w:vertAlign w:val="superscript"/>
          <w:lang w:eastAsia="de-DE"/>
        </w:rPr>
        <w:t xml:space="preserve"> </w:t>
      </w:r>
    </w:p>
    <w:p w:rsidR="003F6314" w:rsidRPr="005B08EC" w:rsidRDefault="003F6314" w:rsidP="003F6314">
      <w:pPr>
        <w:autoSpaceDE w:val="0"/>
        <w:autoSpaceDN w:val="0"/>
        <w:adjustRightInd w:val="0"/>
        <w:spacing w:after="0" w:line="480" w:lineRule="auto"/>
        <w:ind w:right="1701"/>
        <w:rPr>
          <w:sz w:val="24"/>
          <w:szCs w:val="24"/>
          <w:vertAlign w:val="superscript"/>
          <w:lang w:eastAsia="de-DE"/>
        </w:rPr>
      </w:pPr>
    </w:p>
    <w:p w:rsidR="003F6314" w:rsidRPr="005B08EC" w:rsidRDefault="003F6314" w:rsidP="003F6314">
      <w:pPr>
        <w:autoSpaceDE w:val="0"/>
        <w:autoSpaceDN w:val="0"/>
        <w:adjustRightInd w:val="0"/>
        <w:spacing w:after="0" w:line="480" w:lineRule="auto"/>
        <w:ind w:right="1701"/>
        <w:rPr>
          <w:sz w:val="24"/>
          <w:szCs w:val="24"/>
          <w:vertAlign w:val="superscript"/>
          <w:lang w:val="en-US" w:eastAsia="de-DE"/>
        </w:rPr>
      </w:pPr>
      <w:r w:rsidRPr="005B08EC">
        <w:rPr>
          <w:sz w:val="24"/>
          <w:szCs w:val="24"/>
          <w:vertAlign w:val="superscript"/>
          <w:lang w:val="en-US" w:eastAsia="de-DE"/>
        </w:rPr>
        <w:t xml:space="preserve">* </w:t>
      </w:r>
      <w:r w:rsidRPr="005B08EC">
        <w:rPr>
          <w:sz w:val="24"/>
          <w:szCs w:val="24"/>
          <w:lang w:val="en-US" w:eastAsia="de-DE"/>
        </w:rPr>
        <w:t xml:space="preserve">Corresponding author. </w:t>
      </w:r>
      <w:r w:rsidRPr="00A0198C">
        <w:rPr>
          <w:sz w:val="24"/>
          <w:szCs w:val="24"/>
          <w:lang w:eastAsia="de-DE"/>
        </w:rPr>
        <w:t xml:space="preserve">E-mail: </w:t>
      </w:r>
      <w:hyperlink r:id="rId7" w:history="1">
        <w:r w:rsidRPr="00A0198C">
          <w:rPr>
            <w:rStyle w:val="Hyperlink"/>
            <w:sz w:val="24"/>
            <w:szCs w:val="24"/>
            <w:lang w:eastAsia="de-DE"/>
          </w:rPr>
          <w:t>rainer.meckenstock@uni-due.de</w:t>
        </w:r>
      </w:hyperlink>
      <w:r w:rsidRPr="00A0198C">
        <w:rPr>
          <w:sz w:val="24"/>
          <w:szCs w:val="24"/>
          <w:lang w:eastAsia="de-DE"/>
        </w:rPr>
        <w:t xml:space="preserve">. </w:t>
      </w:r>
      <w:r w:rsidRPr="005B08EC">
        <w:rPr>
          <w:sz w:val="24"/>
          <w:szCs w:val="24"/>
          <w:lang w:val="en-US" w:eastAsia="de-DE"/>
        </w:rPr>
        <w:t>Telephone: +49 (201) 183-6601. Fax: ++49 (201) 183-6603</w:t>
      </w:r>
      <w:r w:rsidRPr="002E0812">
        <w:rPr>
          <w:sz w:val="24"/>
          <w:szCs w:val="24"/>
          <w:lang w:val="en-US" w:eastAsia="de-DE"/>
        </w:rPr>
        <w:t>.</w:t>
      </w:r>
    </w:p>
    <w:p w:rsidR="003F6314" w:rsidRPr="005B08EC" w:rsidRDefault="003F6314" w:rsidP="003F6314">
      <w:pPr>
        <w:rPr>
          <w:sz w:val="24"/>
          <w:szCs w:val="24"/>
          <w:lang w:val="en-US"/>
        </w:rPr>
      </w:pPr>
    </w:p>
    <w:p w:rsidR="003F6314" w:rsidRPr="005B08EC" w:rsidRDefault="003F6314" w:rsidP="003F6314">
      <w:pPr>
        <w:rPr>
          <w:sz w:val="24"/>
          <w:szCs w:val="24"/>
          <w:lang w:val="en-US"/>
        </w:rPr>
      </w:pPr>
      <w:r w:rsidRPr="005B08EC">
        <w:rPr>
          <w:sz w:val="24"/>
          <w:szCs w:val="24"/>
          <w:lang w:val="en-US"/>
        </w:rPr>
        <w:t xml:space="preserve">Running title: </w:t>
      </w:r>
      <w:r w:rsidRPr="005B08EC">
        <w:rPr>
          <w:i/>
          <w:sz w:val="24"/>
          <w:szCs w:val="24"/>
          <w:lang w:val="en-US"/>
        </w:rPr>
        <w:t>Pelotomaculum</w:t>
      </w:r>
      <w:r w:rsidRPr="005B08EC">
        <w:rPr>
          <w:sz w:val="24"/>
          <w:szCs w:val="24"/>
          <w:lang w:val="en-US"/>
        </w:rPr>
        <w:t xml:space="preserve"> oxidized benzene coupled with sulfate reduction</w:t>
      </w:r>
    </w:p>
    <w:p w:rsidR="003F6314" w:rsidRPr="005B08EC" w:rsidRDefault="003F6314" w:rsidP="003F6314">
      <w:pPr>
        <w:spacing w:before="100" w:beforeAutospacing="1" w:after="100" w:afterAutospacing="1" w:line="480" w:lineRule="auto"/>
        <w:rPr>
          <w:b/>
          <w:sz w:val="24"/>
          <w:szCs w:val="24"/>
          <w:lang w:val="en-US"/>
        </w:rPr>
      </w:pPr>
    </w:p>
    <w:p w:rsidR="003F6314" w:rsidRPr="005B08EC" w:rsidRDefault="003F6314" w:rsidP="00B5419D">
      <w:pPr>
        <w:pageBreakBefore/>
        <w:spacing w:before="100" w:beforeAutospacing="1" w:after="100" w:afterAutospacing="1" w:line="480" w:lineRule="auto"/>
        <w:rPr>
          <w:b/>
          <w:sz w:val="24"/>
          <w:szCs w:val="24"/>
          <w:lang w:val="en-US"/>
        </w:rPr>
      </w:pPr>
      <w:r w:rsidRPr="005B08EC">
        <w:rPr>
          <w:b/>
          <w:sz w:val="24"/>
          <w:szCs w:val="24"/>
          <w:lang w:val="en-US"/>
        </w:rPr>
        <w:lastRenderedPageBreak/>
        <w:t xml:space="preserve">SUPPORTING INFORMATION LISTS </w:t>
      </w:r>
    </w:p>
    <w:p w:rsidR="003F6314" w:rsidRPr="005B08EC" w:rsidRDefault="00F06883" w:rsidP="003F6314">
      <w:pPr>
        <w:spacing w:before="100" w:beforeAutospacing="1" w:after="100" w:afterAutospacing="1" w:line="480" w:lineRule="auto"/>
        <w:rPr>
          <w:sz w:val="24"/>
          <w:szCs w:val="24"/>
          <w:lang w:val="en-US"/>
        </w:rPr>
      </w:pPr>
      <w:r w:rsidRPr="005B08EC">
        <w:rPr>
          <w:color w:val="00B0F0"/>
          <w:sz w:val="24"/>
          <w:szCs w:val="24"/>
          <w:lang w:val="en-US"/>
        </w:rPr>
        <w:t>Figure S1</w:t>
      </w:r>
      <w:r w:rsidR="003F6314" w:rsidRPr="005B08EC">
        <w:rPr>
          <w:color w:val="00B0F0"/>
          <w:sz w:val="24"/>
          <w:szCs w:val="24"/>
          <w:lang w:val="en-US"/>
        </w:rPr>
        <w:t xml:space="preserve"> </w:t>
      </w:r>
      <w:r w:rsidR="003F6314" w:rsidRPr="005B08EC">
        <w:rPr>
          <w:sz w:val="24"/>
          <w:szCs w:val="24"/>
          <w:lang w:val="en-US"/>
        </w:rPr>
        <w:t xml:space="preserve">Identification of the marker genes within recovered metagenome bins with CheckM. Each bar represents a marker gene. Bars in green represent markers identified exactly once, while bars in grey represent missing markers. Markers identified multiple times in the genome are represented by shades of blue or red depending on the AAI between pairs of multi-copy genes and the total number of copies present (2-5+). Pairs of multi-copy genes with an AAI </w:t>
      </w:r>
      <w:r w:rsidR="003F6314" w:rsidRPr="005B08EC">
        <w:rPr>
          <w:rFonts w:hint="eastAsia"/>
          <w:sz w:val="24"/>
          <w:szCs w:val="24"/>
          <w:lang w:val="en-US"/>
        </w:rPr>
        <w:t>≥</w:t>
      </w:r>
      <w:r w:rsidR="003F6314" w:rsidRPr="005B08EC">
        <w:rPr>
          <w:sz w:val="24"/>
          <w:szCs w:val="24"/>
          <w:lang w:val="en-US"/>
        </w:rPr>
        <w:t xml:space="preserve">90% are indicated with shades of blue, while genes with less amino acid similarity are shown in red. A gene present 3 or more times may have pairs with an AAI </w:t>
      </w:r>
      <w:r w:rsidR="003F6314" w:rsidRPr="005B08EC">
        <w:rPr>
          <w:rFonts w:hint="eastAsia"/>
          <w:sz w:val="24"/>
          <w:szCs w:val="24"/>
          <w:lang w:val="en-US"/>
        </w:rPr>
        <w:t>≥</w:t>
      </w:r>
      <w:r w:rsidR="003F6314" w:rsidRPr="005B08EC">
        <w:rPr>
          <w:sz w:val="24"/>
          <w:szCs w:val="24"/>
          <w:lang w:val="en-US"/>
        </w:rPr>
        <w:t>90% and pairs with an AAI &lt; 90%.</w:t>
      </w:r>
    </w:p>
    <w:p w:rsidR="003F6314" w:rsidRPr="005B08EC" w:rsidRDefault="003F6314" w:rsidP="003F6314">
      <w:pPr>
        <w:spacing w:before="100" w:beforeAutospacing="1" w:after="100" w:afterAutospacing="1" w:line="480" w:lineRule="auto"/>
        <w:rPr>
          <w:sz w:val="24"/>
          <w:szCs w:val="24"/>
          <w:lang w:val="en-US"/>
        </w:rPr>
      </w:pPr>
      <w:r w:rsidRPr="005B08EC">
        <w:rPr>
          <w:color w:val="00B0F0"/>
          <w:sz w:val="24"/>
          <w:szCs w:val="24"/>
          <w:lang w:val="en-US"/>
        </w:rPr>
        <w:t>Figure S</w:t>
      </w:r>
      <w:r w:rsidR="00F06883" w:rsidRPr="002E0812">
        <w:rPr>
          <w:color w:val="00B0F0"/>
          <w:sz w:val="24"/>
          <w:szCs w:val="24"/>
          <w:lang w:val="en-US"/>
        </w:rPr>
        <w:t>2</w:t>
      </w:r>
      <w:r w:rsidRPr="005B08EC">
        <w:rPr>
          <w:color w:val="00B0F0"/>
          <w:sz w:val="24"/>
          <w:szCs w:val="24"/>
          <w:lang w:val="en-US"/>
        </w:rPr>
        <w:t xml:space="preserve"> </w:t>
      </w:r>
      <w:r w:rsidR="00331FC0" w:rsidRPr="005B08EC">
        <w:rPr>
          <w:sz w:val="24"/>
          <w:szCs w:val="24"/>
          <w:lang w:val="en-US"/>
        </w:rPr>
        <w:t xml:space="preserve">Identity dot plot between </w:t>
      </w:r>
      <w:r w:rsidR="00331FC0" w:rsidRPr="008E1FC3">
        <w:rPr>
          <w:i/>
          <w:sz w:val="24"/>
          <w:szCs w:val="24"/>
          <w:lang w:val="en-US"/>
        </w:rPr>
        <w:t>Pelotomaculum</w:t>
      </w:r>
      <w:r w:rsidR="00331FC0" w:rsidRPr="005B08EC">
        <w:rPr>
          <w:sz w:val="24"/>
          <w:szCs w:val="24"/>
          <w:lang w:val="en-US"/>
        </w:rPr>
        <w:t xml:space="preserve"> candidate BPL (contigs on the y axis) and </w:t>
      </w:r>
      <w:r w:rsidR="00331FC0" w:rsidRPr="008E1FC3">
        <w:rPr>
          <w:i/>
          <w:sz w:val="24"/>
          <w:szCs w:val="24"/>
          <w:lang w:val="en-US"/>
        </w:rPr>
        <w:t>Pelotomaculum thermopropionicum</w:t>
      </w:r>
      <w:r w:rsidR="00331FC0" w:rsidRPr="005B08EC">
        <w:rPr>
          <w:sz w:val="24"/>
          <w:szCs w:val="24"/>
          <w:lang w:val="en-US"/>
        </w:rPr>
        <w:t xml:space="preserve"> SI (full genome sequence on the x axis) generated using MUMmer (http://mummer.sourceforge.net/). Red dots indicate stretches of nucleotide identity and blue dots reverse complementary matches. Grey horizontal lines separate the individual contigs on the y axis.</w:t>
      </w:r>
    </w:p>
    <w:p w:rsidR="003F6314" w:rsidRPr="005B08EC" w:rsidRDefault="003F6314" w:rsidP="003F6314">
      <w:pPr>
        <w:spacing w:before="100" w:beforeAutospacing="1" w:after="100" w:afterAutospacing="1" w:line="480" w:lineRule="auto"/>
        <w:rPr>
          <w:sz w:val="24"/>
          <w:szCs w:val="24"/>
          <w:lang w:val="en-US"/>
        </w:rPr>
      </w:pPr>
      <w:r w:rsidRPr="005B08EC">
        <w:rPr>
          <w:color w:val="00B0F0"/>
          <w:sz w:val="24"/>
          <w:szCs w:val="24"/>
          <w:lang w:val="en-US"/>
        </w:rPr>
        <w:t>Figure S</w:t>
      </w:r>
      <w:r w:rsidR="00F06883" w:rsidRPr="005B08EC">
        <w:rPr>
          <w:color w:val="00B0F0"/>
          <w:sz w:val="24"/>
          <w:szCs w:val="24"/>
          <w:lang w:val="en-US"/>
        </w:rPr>
        <w:t>3</w:t>
      </w:r>
      <w:r w:rsidRPr="005B08EC">
        <w:rPr>
          <w:color w:val="00B0F0"/>
          <w:sz w:val="24"/>
          <w:szCs w:val="24"/>
          <w:lang w:val="en-US"/>
        </w:rPr>
        <w:t xml:space="preserve"> </w:t>
      </w:r>
      <w:r w:rsidRPr="005B08EC">
        <w:rPr>
          <w:sz w:val="24"/>
          <w:szCs w:val="24"/>
          <w:lang w:val="en-US"/>
        </w:rPr>
        <w:t xml:space="preserve">Gene count of COG functional categories for </w:t>
      </w:r>
      <w:r w:rsidRPr="005B08EC">
        <w:rPr>
          <w:i/>
          <w:sz w:val="24"/>
          <w:szCs w:val="24"/>
          <w:lang w:val="en-US"/>
        </w:rPr>
        <w:t xml:space="preserve">Pelotomaculum </w:t>
      </w:r>
      <w:r w:rsidRPr="005B08EC">
        <w:rPr>
          <w:sz w:val="24"/>
          <w:szCs w:val="24"/>
          <w:lang w:val="en-US"/>
        </w:rPr>
        <w:t xml:space="preserve">candidate BPL and </w:t>
      </w:r>
      <w:r w:rsidRPr="005B08EC">
        <w:rPr>
          <w:i/>
          <w:sz w:val="24"/>
          <w:szCs w:val="24"/>
          <w:lang w:val="en-US"/>
        </w:rPr>
        <w:t>Pelotomaculum thermopropionicum</w:t>
      </w:r>
      <w:r w:rsidRPr="005B08EC">
        <w:rPr>
          <w:sz w:val="24"/>
          <w:szCs w:val="24"/>
          <w:lang w:val="en-US"/>
        </w:rPr>
        <w:t xml:space="preserve"> SI.</w:t>
      </w:r>
    </w:p>
    <w:p w:rsidR="003F6314" w:rsidRPr="005B08EC" w:rsidRDefault="003F6314" w:rsidP="003F6314">
      <w:pPr>
        <w:spacing w:before="100" w:beforeAutospacing="1" w:after="100" w:afterAutospacing="1" w:line="480" w:lineRule="auto"/>
        <w:rPr>
          <w:sz w:val="24"/>
          <w:szCs w:val="24"/>
          <w:lang w:val="en-US"/>
        </w:rPr>
      </w:pPr>
      <w:r w:rsidRPr="005B08EC">
        <w:rPr>
          <w:color w:val="00B0F0"/>
          <w:sz w:val="24"/>
          <w:szCs w:val="24"/>
          <w:lang w:val="en-US"/>
        </w:rPr>
        <w:t>Figure S</w:t>
      </w:r>
      <w:r w:rsidR="00F06883" w:rsidRPr="005B08EC">
        <w:rPr>
          <w:color w:val="00B0F0"/>
          <w:sz w:val="24"/>
          <w:szCs w:val="24"/>
          <w:lang w:val="en-US"/>
        </w:rPr>
        <w:t>4</w:t>
      </w:r>
      <w:r w:rsidRPr="005B08EC">
        <w:rPr>
          <w:sz w:val="24"/>
          <w:szCs w:val="24"/>
          <w:lang w:val="en-US"/>
        </w:rPr>
        <w:t xml:space="preserve"> Genomic context of the </w:t>
      </w:r>
      <w:r w:rsidRPr="005B08EC">
        <w:rPr>
          <w:i/>
          <w:sz w:val="24"/>
          <w:szCs w:val="24"/>
          <w:lang w:val="en-US"/>
        </w:rPr>
        <w:t>metF</w:t>
      </w:r>
      <w:r w:rsidRPr="005B08EC">
        <w:rPr>
          <w:sz w:val="24"/>
          <w:szCs w:val="24"/>
          <w:lang w:val="en-US"/>
        </w:rPr>
        <w:t xml:space="preserve"> gene in the genome of </w:t>
      </w:r>
      <w:r w:rsidR="00B82E9E" w:rsidRPr="005B08EC">
        <w:rPr>
          <w:i/>
          <w:sz w:val="24"/>
          <w:szCs w:val="24"/>
          <w:lang w:val="en-US"/>
        </w:rPr>
        <w:t xml:space="preserve">Pelotomaculum </w:t>
      </w:r>
      <w:r w:rsidR="00B82E9E" w:rsidRPr="005B08EC">
        <w:rPr>
          <w:sz w:val="24"/>
          <w:szCs w:val="24"/>
          <w:lang w:val="en-US"/>
        </w:rPr>
        <w:t xml:space="preserve">candidate BPL. </w:t>
      </w:r>
      <w:r w:rsidRPr="005B08EC">
        <w:rPr>
          <w:sz w:val="24"/>
          <w:szCs w:val="24"/>
          <w:lang w:val="en-US"/>
        </w:rPr>
        <w:t xml:space="preserve">Unknown, hypothetical protein; </w:t>
      </w:r>
      <w:r w:rsidRPr="005B08EC">
        <w:rPr>
          <w:i/>
          <w:sz w:val="24"/>
          <w:szCs w:val="24"/>
          <w:lang w:val="en-US"/>
        </w:rPr>
        <w:t>acsE</w:t>
      </w:r>
      <w:r w:rsidRPr="005B08EC">
        <w:rPr>
          <w:sz w:val="24"/>
          <w:szCs w:val="24"/>
          <w:lang w:val="en-US"/>
        </w:rPr>
        <w:t xml:space="preserve">, methyltetrahydrofolate--corrinoid iron-sulfur protein Co-methyltransferase; </w:t>
      </w:r>
      <w:r w:rsidRPr="005B08EC">
        <w:rPr>
          <w:i/>
          <w:sz w:val="24"/>
          <w:szCs w:val="24"/>
          <w:lang w:val="en-US"/>
        </w:rPr>
        <w:t>hdrACB</w:t>
      </w:r>
      <w:r w:rsidRPr="005B08EC">
        <w:rPr>
          <w:sz w:val="24"/>
          <w:szCs w:val="24"/>
          <w:lang w:val="en-US"/>
        </w:rPr>
        <w:t xml:space="preserve">, heterodisulfide reductase; </w:t>
      </w:r>
      <w:r w:rsidRPr="005B08EC">
        <w:rPr>
          <w:i/>
          <w:sz w:val="24"/>
          <w:szCs w:val="24"/>
          <w:lang w:val="en-US"/>
        </w:rPr>
        <w:t>mvhD</w:t>
      </w:r>
      <w:r w:rsidRPr="005B08EC">
        <w:rPr>
          <w:sz w:val="24"/>
          <w:szCs w:val="24"/>
          <w:lang w:val="en-US"/>
        </w:rPr>
        <w:t xml:space="preserve">, methyl-viologen-reducing hydrogenase, delta subunit; 1, 4Fe-4S dicluster domain-containing protein; 2, 4Fe-4S dicluster domain-containing protein; 3, NAD(P)H-flavin reductase; 4, Fe-S oxidoreductase; </w:t>
      </w:r>
      <w:r w:rsidRPr="005B08EC">
        <w:rPr>
          <w:i/>
          <w:sz w:val="24"/>
          <w:szCs w:val="24"/>
          <w:lang w:val="en-US"/>
        </w:rPr>
        <w:t>metV</w:t>
      </w:r>
      <w:r w:rsidRPr="005B08EC">
        <w:rPr>
          <w:sz w:val="24"/>
          <w:szCs w:val="24"/>
          <w:lang w:val="en-US"/>
        </w:rPr>
        <w:t xml:space="preserve">, Methylene-tetrahydrofolate reductase C terminal; metF, 5,10-methylenetetrahydrofolate reductase (ferredoxin). </w:t>
      </w:r>
    </w:p>
    <w:p w:rsidR="003F6314" w:rsidRPr="005B08EC" w:rsidRDefault="00F06883" w:rsidP="003F6314">
      <w:pPr>
        <w:spacing w:before="100" w:beforeAutospacing="1" w:after="100" w:afterAutospacing="1" w:line="480" w:lineRule="auto"/>
        <w:rPr>
          <w:sz w:val="24"/>
          <w:szCs w:val="24"/>
          <w:lang w:val="en-US"/>
        </w:rPr>
      </w:pPr>
      <w:r w:rsidRPr="005B08EC">
        <w:rPr>
          <w:color w:val="00B0F0"/>
          <w:sz w:val="24"/>
          <w:szCs w:val="24"/>
          <w:lang w:val="en-US"/>
        </w:rPr>
        <w:t>Figure S5</w:t>
      </w:r>
      <w:r w:rsidR="003F6314" w:rsidRPr="005B08EC">
        <w:rPr>
          <w:sz w:val="24"/>
          <w:szCs w:val="24"/>
          <w:lang w:val="en-US"/>
        </w:rPr>
        <w:t xml:space="preserve"> Glycolysis/gluconeogenesis pathway detected in </w:t>
      </w:r>
      <w:r w:rsidR="003F6314" w:rsidRPr="005B08EC">
        <w:rPr>
          <w:i/>
          <w:sz w:val="24"/>
          <w:szCs w:val="24"/>
          <w:lang w:val="en-US"/>
        </w:rPr>
        <w:t xml:space="preserve">Pelotomaculum </w:t>
      </w:r>
      <w:r w:rsidR="003F6314" w:rsidRPr="005B08EC">
        <w:rPr>
          <w:sz w:val="24"/>
          <w:szCs w:val="24"/>
          <w:lang w:val="en-US"/>
        </w:rPr>
        <w:t xml:space="preserve">candidate BPL genome. Blue boxes indicate enzyme commission number of those detected in </w:t>
      </w:r>
      <w:r w:rsidR="003F6314" w:rsidRPr="005B08EC">
        <w:rPr>
          <w:i/>
          <w:sz w:val="24"/>
          <w:szCs w:val="24"/>
          <w:lang w:val="en-US"/>
        </w:rPr>
        <w:t xml:space="preserve">Pelotomaculum </w:t>
      </w:r>
      <w:r w:rsidR="003F6314" w:rsidRPr="005B08EC">
        <w:rPr>
          <w:sz w:val="24"/>
          <w:szCs w:val="24"/>
          <w:lang w:val="en-US"/>
        </w:rPr>
        <w:t>candidate BPL.</w:t>
      </w:r>
    </w:p>
    <w:p w:rsidR="003F6314" w:rsidRPr="005B08EC" w:rsidRDefault="003F6314" w:rsidP="003F6314">
      <w:pPr>
        <w:spacing w:before="100" w:beforeAutospacing="1" w:after="100" w:afterAutospacing="1" w:line="480" w:lineRule="auto"/>
        <w:rPr>
          <w:sz w:val="24"/>
          <w:szCs w:val="24"/>
          <w:lang w:val="en-US"/>
        </w:rPr>
      </w:pPr>
      <w:r w:rsidRPr="005B08EC">
        <w:rPr>
          <w:color w:val="00B0F0"/>
          <w:sz w:val="24"/>
          <w:szCs w:val="24"/>
          <w:lang w:val="en-US"/>
        </w:rPr>
        <w:t>Figure S</w:t>
      </w:r>
      <w:r w:rsidR="00F06883" w:rsidRPr="005B08EC">
        <w:rPr>
          <w:color w:val="00B0F0"/>
          <w:sz w:val="24"/>
          <w:szCs w:val="24"/>
          <w:lang w:val="en-US"/>
        </w:rPr>
        <w:t>6</w:t>
      </w:r>
      <w:r w:rsidRPr="005B08EC">
        <w:rPr>
          <w:color w:val="00B0F0"/>
          <w:sz w:val="24"/>
          <w:szCs w:val="24"/>
          <w:lang w:val="en-US"/>
        </w:rPr>
        <w:t xml:space="preserve"> </w:t>
      </w:r>
      <w:r w:rsidRPr="005B08EC">
        <w:rPr>
          <w:sz w:val="24"/>
          <w:szCs w:val="24"/>
          <w:lang w:val="en-US"/>
        </w:rPr>
        <w:t xml:space="preserve">Reductive pentose phosphate pathway detected in </w:t>
      </w:r>
      <w:r w:rsidRPr="005B08EC">
        <w:rPr>
          <w:i/>
          <w:sz w:val="24"/>
          <w:szCs w:val="24"/>
          <w:lang w:val="en-US"/>
        </w:rPr>
        <w:t xml:space="preserve">Pelotomaculum </w:t>
      </w:r>
      <w:r w:rsidRPr="005B08EC">
        <w:rPr>
          <w:sz w:val="24"/>
          <w:szCs w:val="24"/>
          <w:lang w:val="en-US"/>
        </w:rPr>
        <w:t xml:space="preserve">candidate BPL genome. Blue boxes indicate enzyme commission number of those detected in </w:t>
      </w:r>
      <w:r w:rsidRPr="005B08EC">
        <w:rPr>
          <w:i/>
          <w:sz w:val="24"/>
          <w:szCs w:val="24"/>
          <w:lang w:val="en-US"/>
        </w:rPr>
        <w:t xml:space="preserve">Pelotomaculum </w:t>
      </w:r>
      <w:r w:rsidRPr="005B08EC">
        <w:rPr>
          <w:sz w:val="24"/>
          <w:szCs w:val="24"/>
          <w:lang w:val="en-US"/>
        </w:rPr>
        <w:t>candidate BPL.</w:t>
      </w:r>
    </w:p>
    <w:p w:rsidR="009D1C2A" w:rsidRPr="005B08EC" w:rsidRDefault="003F6314" w:rsidP="003F6314">
      <w:pPr>
        <w:spacing w:before="100" w:beforeAutospacing="1" w:after="100" w:afterAutospacing="1" w:line="480" w:lineRule="auto"/>
        <w:rPr>
          <w:sz w:val="24"/>
          <w:szCs w:val="24"/>
          <w:lang w:val="en-US"/>
        </w:rPr>
      </w:pPr>
      <w:r w:rsidRPr="005B08EC">
        <w:rPr>
          <w:color w:val="00B0F0"/>
          <w:sz w:val="24"/>
          <w:szCs w:val="24"/>
          <w:lang w:val="en-US"/>
        </w:rPr>
        <w:t>Table S</w:t>
      </w:r>
      <w:r w:rsidR="00F06883" w:rsidRPr="005B08EC">
        <w:rPr>
          <w:color w:val="00B0F0"/>
          <w:sz w:val="24"/>
          <w:szCs w:val="24"/>
          <w:lang w:val="en-US"/>
        </w:rPr>
        <w:t>1</w:t>
      </w:r>
      <w:r w:rsidRPr="005B08EC">
        <w:rPr>
          <w:color w:val="00B0F0"/>
          <w:sz w:val="24"/>
          <w:szCs w:val="24"/>
          <w:lang w:val="en-US"/>
        </w:rPr>
        <w:t xml:space="preserve"> </w:t>
      </w:r>
      <w:r w:rsidRPr="005B08EC">
        <w:rPr>
          <w:sz w:val="24"/>
          <w:szCs w:val="24"/>
          <w:lang w:val="en-US"/>
        </w:rPr>
        <w:t xml:space="preserve">Expressed genes belonging to </w:t>
      </w:r>
      <w:r w:rsidRPr="005B08EC">
        <w:rPr>
          <w:i/>
          <w:sz w:val="24"/>
          <w:szCs w:val="24"/>
          <w:lang w:val="en-US"/>
        </w:rPr>
        <w:t xml:space="preserve">Pelotomaculum </w:t>
      </w:r>
      <w:r w:rsidRPr="005B08EC">
        <w:rPr>
          <w:sz w:val="24"/>
          <w:szCs w:val="24"/>
          <w:lang w:val="en-US"/>
        </w:rPr>
        <w:t>candidate BPL during anaerobic degradation of benzene.</w:t>
      </w:r>
    </w:p>
    <w:p w:rsidR="00EA5F1F" w:rsidRPr="005B08EC" w:rsidRDefault="00EA5F1F" w:rsidP="003F6314">
      <w:pPr>
        <w:spacing w:before="100" w:beforeAutospacing="1" w:after="100" w:afterAutospacing="1" w:line="480" w:lineRule="auto"/>
        <w:rPr>
          <w:sz w:val="24"/>
          <w:szCs w:val="24"/>
          <w:lang w:val="en-US"/>
        </w:rPr>
      </w:pPr>
      <w:r w:rsidRPr="005B08EC">
        <w:rPr>
          <w:color w:val="00B0F0"/>
          <w:sz w:val="24"/>
          <w:szCs w:val="24"/>
          <w:lang w:val="en-US"/>
        </w:rPr>
        <w:t xml:space="preserve">Table S2 </w:t>
      </w:r>
      <w:r w:rsidRPr="005B08EC">
        <w:rPr>
          <w:sz w:val="24"/>
          <w:szCs w:val="24"/>
          <w:lang w:val="en-US"/>
        </w:rPr>
        <w:t xml:space="preserve">FASTA Amino Acid format for protein coding genes in the genome of </w:t>
      </w:r>
      <w:r w:rsidRPr="005B08EC">
        <w:rPr>
          <w:i/>
          <w:sz w:val="24"/>
          <w:szCs w:val="24"/>
          <w:lang w:val="en-US"/>
        </w:rPr>
        <w:t>Pelotomaculum</w:t>
      </w:r>
      <w:r w:rsidRPr="005B08EC">
        <w:rPr>
          <w:sz w:val="24"/>
          <w:szCs w:val="24"/>
          <w:lang w:val="en-US"/>
        </w:rPr>
        <w:t xml:space="preserve"> candidate BPL.</w:t>
      </w:r>
    </w:p>
    <w:p w:rsidR="00B4206C" w:rsidRPr="005B08EC" w:rsidRDefault="00C41BF4" w:rsidP="00B4206C">
      <w:pPr>
        <w:spacing w:line="480" w:lineRule="auto"/>
        <w:rPr>
          <w:sz w:val="24"/>
          <w:szCs w:val="24"/>
          <w:lang w:val="en-US"/>
        </w:rPr>
      </w:pPr>
      <w:r w:rsidRPr="005B08EC">
        <w:rPr>
          <w:color w:val="00B0F0"/>
          <w:sz w:val="24"/>
          <w:szCs w:val="24"/>
          <w:lang w:val="en-US"/>
        </w:rPr>
        <w:t xml:space="preserve">Table S3 </w:t>
      </w:r>
      <w:r w:rsidR="00B4206C" w:rsidRPr="005B08EC">
        <w:rPr>
          <w:sz w:val="24"/>
          <w:szCs w:val="24"/>
          <w:lang w:val="en-US"/>
        </w:rPr>
        <w:t xml:space="preserve">Features of the </w:t>
      </w:r>
      <w:r w:rsidR="00B4206C" w:rsidRPr="005B08EC">
        <w:rPr>
          <w:iCs/>
          <w:sz w:val="24"/>
          <w:szCs w:val="24"/>
          <w:lang w:val="en-US"/>
        </w:rPr>
        <w:t xml:space="preserve">candidate </w:t>
      </w:r>
      <w:r w:rsidR="00B4206C" w:rsidRPr="005B08EC">
        <w:rPr>
          <w:i/>
          <w:iCs/>
          <w:sz w:val="24"/>
          <w:szCs w:val="24"/>
          <w:lang w:val="en-US"/>
        </w:rPr>
        <w:t>Pelotomaculum</w:t>
      </w:r>
      <w:r w:rsidR="00B4206C" w:rsidRPr="005B08EC">
        <w:rPr>
          <w:iCs/>
          <w:sz w:val="24"/>
          <w:szCs w:val="24"/>
          <w:lang w:val="en-US"/>
        </w:rPr>
        <w:t xml:space="preserve"> BPL </w:t>
      </w:r>
      <w:r w:rsidR="00B4206C" w:rsidRPr="005B08EC">
        <w:rPr>
          <w:sz w:val="24"/>
          <w:szCs w:val="24"/>
          <w:lang w:val="en-US"/>
        </w:rPr>
        <w:t>genome based on the IMG platform.</w:t>
      </w:r>
    </w:p>
    <w:p w:rsidR="00F25C3A" w:rsidRPr="005B08EC" w:rsidRDefault="00F25C3A" w:rsidP="003F6314">
      <w:pPr>
        <w:spacing w:before="100" w:beforeAutospacing="1" w:after="100" w:afterAutospacing="1" w:line="480" w:lineRule="auto"/>
        <w:rPr>
          <w:sz w:val="24"/>
          <w:szCs w:val="24"/>
          <w:lang w:val="en-US"/>
        </w:rPr>
      </w:pPr>
      <w:r>
        <w:rPr>
          <w:sz w:val="24"/>
          <w:szCs w:val="24"/>
          <w:lang w:val="en-US"/>
        </w:rPr>
        <w:t xml:space="preserve">Table S4 </w:t>
      </w:r>
      <w:r w:rsidR="00DA082A">
        <w:rPr>
          <w:sz w:val="24"/>
          <w:szCs w:val="24"/>
          <w:lang w:val="en-US"/>
        </w:rPr>
        <w:t>P</w:t>
      </w:r>
      <w:r w:rsidRPr="00F25C3A">
        <w:rPr>
          <w:sz w:val="24"/>
          <w:szCs w:val="24"/>
          <w:lang w:val="en-US"/>
        </w:rPr>
        <w:t>rotein identifications</w:t>
      </w:r>
      <w:r w:rsidR="00DA082A">
        <w:rPr>
          <w:sz w:val="24"/>
          <w:szCs w:val="24"/>
          <w:lang w:val="en-US"/>
        </w:rPr>
        <w:t xml:space="preserve">. </w:t>
      </w:r>
      <w:r w:rsidRPr="00F25C3A">
        <w:rPr>
          <w:sz w:val="24"/>
          <w:szCs w:val="24"/>
          <w:lang w:val="en-US"/>
        </w:rPr>
        <w:t>Scaffold (version Scaffold_4.4.6, Proteome Software Inc., Portland, OR) was used to validate MS/MS based peptide and protein identifications. Peptide identifications were accepted if they could be established at greater than 5,0% probability to achieve an FDR less than 1,0% by the Scaffold Local FDR algorithm. Protein identifications were accepted if they could be established at greater than 95,0% probability and contained a</w:t>
      </w:r>
      <w:r w:rsidR="00DA082A">
        <w:rPr>
          <w:sz w:val="24"/>
          <w:szCs w:val="24"/>
          <w:lang w:val="en-US"/>
        </w:rPr>
        <w:t xml:space="preserve">t least 2 identified peptides. </w:t>
      </w:r>
      <w:r w:rsidRPr="00F25C3A">
        <w:rPr>
          <w:sz w:val="24"/>
          <w:szCs w:val="24"/>
          <w:lang w:val="en-US"/>
        </w:rPr>
        <w:t>Protein probabilities were assigned by the Protein Prophet algorithm (Nesvizhskii, Al et al Anal. Chem. 2003;75(17):4646-58). Proteins that contained similar peptides and could not be differentiated based on MS/MS analysis alone were grouped to satisfy the principles of parsimony.</w:t>
      </w:r>
    </w:p>
    <w:p w:rsidR="006C07AE" w:rsidRPr="005B08EC" w:rsidRDefault="006F5531" w:rsidP="003F6314">
      <w:pPr>
        <w:spacing w:before="100" w:beforeAutospacing="1" w:after="100" w:afterAutospacing="1" w:line="480" w:lineRule="auto"/>
        <w:rPr>
          <w:sz w:val="24"/>
          <w:szCs w:val="24"/>
          <w:lang w:val="en-US"/>
        </w:rPr>
      </w:pPr>
      <w:r w:rsidRPr="005B08EC">
        <w:rPr>
          <w:color w:val="00B0F0"/>
          <w:sz w:val="24"/>
          <w:szCs w:val="24"/>
          <w:lang w:val="en-US"/>
        </w:rPr>
        <w:t>Text S1</w:t>
      </w:r>
      <w:r w:rsidR="006C07AE" w:rsidRPr="005B08EC">
        <w:rPr>
          <w:color w:val="00B0F0"/>
          <w:sz w:val="24"/>
          <w:szCs w:val="24"/>
          <w:lang w:val="en-US"/>
        </w:rPr>
        <w:t xml:space="preserve"> </w:t>
      </w:r>
      <w:r w:rsidR="0050570B" w:rsidRPr="005B08EC">
        <w:rPr>
          <w:sz w:val="24"/>
          <w:szCs w:val="24"/>
          <w:lang w:val="en-US"/>
        </w:rPr>
        <w:t>FASTA-formatted sequences for</w:t>
      </w:r>
      <w:r w:rsidR="006C07AE" w:rsidRPr="005B08EC">
        <w:rPr>
          <w:sz w:val="24"/>
          <w:szCs w:val="24"/>
          <w:lang w:val="en-US"/>
        </w:rPr>
        <w:t xml:space="preserve"> 16S rRNA genes </w:t>
      </w:r>
      <w:r w:rsidR="0050570B" w:rsidRPr="005B08EC">
        <w:rPr>
          <w:sz w:val="24"/>
          <w:szCs w:val="24"/>
          <w:lang w:val="en-US"/>
        </w:rPr>
        <w:t>of</w:t>
      </w:r>
      <w:r w:rsidR="006C07AE" w:rsidRPr="005B08EC">
        <w:rPr>
          <w:sz w:val="24"/>
          <w:szCs w:val="24"/>
          <w:lang w:val="en-US"/>
        </w:rPr>
        <w:t xml:space="preserve"> </w:t>
      </w:r>
      <w:r w:rsidR="006C07AE" w:rsidRPr="005B08EC">
        <w:rPr>
          <w:i/>
          <w:sz w:val="24"/>
          <w:szCs w:val="24"/>
          <w:lang w:val="en-US"/>
        </w:rPr>
        <w:t>Pelotomaculum</w:t>
      </w:r>
      <w:r w:rsidR="006C07AE" w:rsidRPr="005B08EC">
        <w:rPr>
          <w:sz w:val="24"/>
          <w:szCs w:val="24"/>
          <w:lang w:val="en-US"/>
        </w:rPr>
        <w:t xml:space="preserve"> candidate BPL</w:t>
      </w:r>
      <w:r w:rsidR="0050570B" w:rsidRPr="005B08EC">
        <w:rPr>
          <w:sz w:val="24"/>
          <w:szCs w:val="24"/>
          <w:lang w:val="en-US"/>
        </w:rPr>
        <w:t>.</w:t>
      </w:r>
    </w:p>
    <w:p w:rsidR="00EA5F1F" w:rsidRPr="005B08EC" w:rsidRDefault="00EA5F1F" w:rsidP="003F6314">
      <w:pPr>
        <w:spacing w:before="100" w:beforeAutospacing="1" w:after="100" w:afterAutospacing="1" w:line="480" w:lineRule="auto"/>
        <w:rPr>
          <w:sz w:val="24"/>
          <w:szCs w:val="24"/>
          <w:lang w:val="en-US"/>
        </w:rPr>
      </w:pPr>
    </w:p>
    <w:p w:rsidR="008B3083" w:rsidRPr="005B08EC" w:rsidRDefault="008B3083" w:rsidP="0018532C">
      <w:pPr>
        <w:spacing w:before="100" w:beforeAutospacing="1" w:after="100" w:afterAutospacing="1" w:line="480" w:lineRule="auto"/>
        <w:rPr>
          <w:color w:val="00B0F0"/>
          <w:sz w:val="24"/>
          <w:szCs w:val="24"/>
          <w:lang w:val="en-US"/>
        </w:rPr>
        <w:sectPr w:rsidR="008B3083" w:rsidRPr="005B08EC" w:rsidSect="0018532C">
          <w:footerReference w:type="default" r:id="rId8"/>
          <w:pgSz w:w="11906" w:h="16838"/>
          <w:pgMar w:top="1418" w:right="1418" w:bottom="1134" w:left="1418" w:header="709" w:footer="709" w:gutter="0"/>
          <w:lnNumType w:countBy="1" w:restart="continuous"/>
          <w:cols w:space="708"/>
          <w:docGrid w:linePitch="360"/>
        </w:sectPr>
      </w:pPr>
    </w:p>
    <w:p w:rsidR="006E2B3A" w:rsidRPr="005B08EC" w:rsidRDefault="006E2B3A" w:rsidP="006E2B3A">
      <w:pPr>
        <w:spacing w:before="100" w:beforeAutospacing="1" w:after="100" w:afterAutospacing="1" w:line="480" w:lineRule="auto"/>
        <w:rPr>
          <w:b/>
          <w:sz w:val="24"/>
          <w:szCs w:val="24"/>
          <w:lang w:val="en-US"/>
        </w:rPr>
      </w:pPr>
      <w:r w:rsidRPr="005B08EC">
        <w:rPr>
          <w:b/>
          <w:sz w:val="24"/>
          <w:szCs w:val="24"/>
          <w:lang w:val="en-US"/>
        </w:rPr>
        <w:t>Glycolysis/Gluconeogenesis and pentose phosphate pathway</w:t>
      </w:r>
    </w:p>
    <w:p w:rsidR="006E2B3A" w:rsidRPr="005B08EC" w:rsidRDefault="006E2B3A" w:rsidP="006E2B3A">
      <w:pPr>
        <w:spacing w:before="100" w:beforeAutospacing="1" w:after="100" w:afterAutospacing="1" w:line="480" w:lineRule="auto"/>
        <w:rPr>
          <w:sz w:val="24"/>
          <w:szCs w:val="24"/>
          <w:lang w:val="en-US"/>
        </w:rPr>
      </w:pPr>
      <w:r w:rsidRPr="005B08EC">
        <w:rPr>
          <w:sz w:val="24"/>
          <w:szCs w:val="24"/>
          <w:lang w:val="en-US"/>
        </w:rPr>
        <w:t>The genome contains all the necessary genes for glycolysis by the Embden-Meyerhof-Parnas pathway breaking down glucose into pyruvate (</w:t>
      </w:r>
      <w:r w:rsidRPr="005B08EC">
        <w:rPr>
          <w:color w:val="00B0F0"/>
          <w:sz w:val="24"/>
          <w:szCs w:val="24"/>
          <w:lang w:val="en-US"/>
        </w:rPr>
        <w:t>Figures 2 and S5</w:t>
      </w:r>
      <w:r w:rsidRPr="005B08EC">
        <w:rPr>
          <w:sz w:val="24"/>
          <w:szCs w:val="24"/>
          <w:lang w:val="en-US"/>
        </w:rPr>
        <w:t>). For gluconeogenesis, fructose-1,6-bisphosphatase (</w:t>
      </w:r>
      <w:r w:rsidRPr="005B08EC">
        <w:rPr>
          <w:iCs/>
          <w:color w:val="00B0F0"/>
          <w:sz w:val="24"/>
          <w:szCs w:val="24"/>
          <w:lang w:val="en-US"/>
        </w:rPr>
        <w:t>Ga0073689_</w:t>
      </w:r>
      <w:r w:rsidRPr="005B08EC">
        <w:rPr>
          <w:color w:val="00B0F0"/>
          <w:sz w:val="24"/>
          <w:szCs w:val="24"/>
          <w:lang w:val="en-US"/>
        </w:rPr>
        <w:t>2617920160</w:t>
      </w:r>
      <w:r w:rsidRPr="005B08EC">
        <w:rPr>
          <w:sz w:val="24"/>
          <w:szCs w:val="24"/>
          <w:lang w:val="en-US"/>
        </w:rPr>
        <w:t>) and phosphoenolpyruvate synthetase (</w:t>
      </w:r>
      <w:r w:rsidRPr="005B08EC">
        <w:rPr>
          <w:iCs/>
          <w:color w:val="00B0F0"/>
          <w:sz w:val="24"/>
          <w:szCs w:val="24"/>
          <w:lang w:val="en-US"/>
        </w:rPr>
        <w:t>Ga0073689_</w:t>
      </w:r>
      <w:r w:rsidRPr="005B08EC">
        <w:rPr>
          <w:color w:val="00B0F0"/>
          <w:sz w:val="24"/>
          <w:szCs w:val="24"/>
          <w:lang w:val="en-US"/>
        </w:rPr>
        <w:t>2617922090</w:t>
      </w:r>
      <w:r w:rsidRPr="005B08EC">
        <w:rPr>
          <w:sz w:val="24"/>
          <w:szCs w:val="24"/>
          <w:lang w:val="en-US"/>
        </w:rPr>
        <w:t>) were identified in the genome. The two functionally irreversible enzymes together with enzymes of the Embden-Meyerhof-Parnas pathway allow for the generation of glucose-6-pho</w:t>
      </w:r>
      <w:r w:rsidR="001B73E1" w:rsidRPr="005B08EC">
        <w:rPr>
          <w:sz w:val="24"/>
          <w:szCs w:val="24"/>
          <w:lang w:val="en-US"/>
        </w:rPr>
        <w:t>s</w:t>
      </w:r>
      <w:r w:rsidRPr="005B08EC">
        <w:rPr>
          <w:sz w:val="24"/>
          <w:szCs w:val="24"/>
          <w:lang w:val="en-US"/>
        </w:rPr>
        <w:t>phate from pyruvate (</w:t>
      </w:r>
      <w:r w:rsidRPr="005B08EC">
        <w:rPr>
          <w:color w:val="00B0F0"/>
          <w:sz w:val="24"/>
          <w:szCs w:val="24"/>
          <w:lang w:val="en-US"/>
        </w:rPr>
        <w:t>Figures 2 and S5</w:t>
      </w:r>
      <w:r w:rsidRPr="005B08EC">
        <w:rPr>
          <w:sz w:val="24"/>
          <w:szCs w:val="24"/>
          <w:lang w:val="en-US"/>
        </w:rPr>
        <w:t>). In addition, the non-oxidative branch of the pentose phosphate pathway was identified for the production of ribose-5-phosphate, including transketolase (</w:t>
      </w:r>
      <w:r w:rsidRPr="005B08EC">
        <w:rPr>
          <w:iCs/>
          <w:color w:val="00B0F0"/>
          <w:sz w:val="24"/>
          <w:szCs w:val="24"/>
          <w:lang w:val="en-US"/>
        </w:rPr>
        <w:t>Ga0073689_</w:t>
      </w:r>
      <w:r w:rsidRPr="005B08EC">
        <w:rPr>
          <w:color w:val="00B0F0"/>
          <w:sz w:val="24"/>
          <w:szCs w:val="24"/>
          <w:lang w:val="en-US"/>
        </w:rPr>
        <w:t>2617919901-2</w:t>
      </w:r>
      <w:r w:rsidRPr="005B08EC">
        <w:rPr>
          <w:sz w:val="24"/>
          <w:szCs w:val="24"/>
          <w:lang w:val="en-US"/>
        </w:rPr>
        <w:t>), ribulose-5-phosphate 3-epimerase (2617921643), ribose 5-phosphate isomerase (</w:t>
      </w:r>
      <w:r w:rsidRPr="005B08EC">
        <w:rPr>
          <w:iCs/>
          <w:color w:val="00B0F0"/>
          <w:sz w:val="24"/>
          <w:szCs w:val="24"/>
          <w:lang w:val="en-US"/>
        </w:rPr>
        <w:t>Ga0073689_</w:t>
      </w:r>
      <w:r w:rsidRPr="005B08EC">
        <w:rPr>
          <w:color w:val="00B0F0"/>
          <w:sz w:val="24"/>
          <w:szCs w:val="24"/>
          <w:lang w:val="en-US"/>
        </w:rPr>
        <w:t>2617920224</w:t>
      </w:r>
      <w:r w:rsidRPr="005B08EC">
        <w:rPr>
          <w:sz w:val="24"/>
          <w:szCs w:val="24"/>
          <w:lang w:val="en-US"/>
        </w:rPr>
        <w:t>), and ribose-phosphate pyrophosphokinase (</w:t>
      </w:r>
      <w:r w:rsidRPr="005B08EC">
        <w:rPr>
          <w:iCs/>
          <w:color w:val="00B0F0"/>
          <w:sz w:val="24"/>
          <w:szCs w:val="24"/>
          <w:lang w:val="en-US"/>
        </w:rPr>
        <w:t>Ga0073689_</w:t>
      </w:r>
      <w:r w:rsidRPr="005B08EC">
        <w:rPr>
          <w:color w:val="00B0F0"/>
          <w:sz w:val="24"/>
          <w:szCs w:val="24"/>
          <w:lang w:val="en-US"/>
        </w:rPr>
        <w:t>2617920825</w:t>
      </w:r>
      <w:r w:rsidRPr="005B08EC">
        <w:rPr>
          <w:sz w:val="24"/>
          <w:szCs w:val="24"/>
          <w:lang w:val="en-US"/>
        </w:rPr>
        <w:t>) (</w:t>
      </w:r>
      <w:r w:rsidRPr="005B08EC">
        <w:rPr>
          <w:color w:val="00B0F0"/>
          <w:sz w:val="24"/>
          <w:szCs w:val="24"/>
          <w:lang w:val="en-US"/>
        </w:rPr>
        <w:t>Figures 2 and S6</w:t>
      </w:r>
      <w:r w:rsidRPr="005B08EC">
        <w:rPr>
          <w:sz w:val="24"/>
          <w:szCs w:val="24"/>
          <w:lang w:val="en-US"/>
        </w:rPr>
        <w:t xml:space="preserve">). This pathway is essential for the synthesis of nucleic acids. </w:t>
      </w:r>
    </w:p>
    <w:p w:rsidR="006E2B3A" w:rsidRPr="005B08EC" w:rsidRDefault="006E2B3A" w:rsidP="006E2B3A">
      <w:pPr>
        <w:spacing w:before="100" w:beforeAutospacing="1" w:after="100" w:afterAutospacing="1" w:line="480" w:lineRule="auto"/>
        <w:rPr>
          <w:b/>
          <w:sz w:val="24"/>
          <w:szCs w:val="24"/>
          <w:lang w:val="en-US"/>
        </w:rPr>
      </w:pPr>
      <w:r w:rsidRPr="005B08EC">
        <w:rPr>
          <w:b/>
          <w:sz w:val="24"/>
          <w:szCs w:val="24"/>
          <w:lang w:val="en-US"/>
        </w:rPr>
        <w:t>Metabolism of alcohols and organic acids</w:t>
      </w:r>
    </w:p>
    <w:p w:rsidR="006E2B3A" w:rsidRPr="005B08EC" w:rsidRDefault="006E2B3A" w:rsidP="006E2B3A">
      <w:pPr>
        <w:spacing w:before="100" w:beforeAutospacing="1" w:after="100" w:afterAutospacing="1" w:line="480" w:lineRule="auto"/>
        <w:rPr>
          <w:sz w:val="24"/>
          <w:szCs w:val="24"/>
          <w:lang w:val="en-US"/>
        </w:rPr>
      </w:pPr>
      <w:r w:rsidRPr="005B08EC">
        <w:rPr>
          <w:sz w:val="24"/>
          <w:szCs w:val="24"/>
          <w:lang w:val="en-US"/>
        </w:rPr>
        <w:t xml:space="preserve">The culture BPL was reported to grow on lactate and pyruvate </w:t>
      </w:r>
      <w:r w:rsidRPr="005B08EC">
        <w:rPr>
          <w:sz w:val="24"/>
          <w:szCs w:val="24"/>
        </w:rPr>
        <w:fldChar w:fldCharType="begin"/>
      </w:r>
      <w:r w:rsidRPr="005B08EC">
        <w:rPr>
          <w:sz w:val="24"/>
          <w:szCs w:val="24"/>
          <w:lang w:val="en-US"/>
        </w:rPr>
        <w:instrText xml:space="preserve"> ADDIN EN.CITE &lt;EndNote&gt;&lt;Cite&gt;&lt;Author&gt;Abu Laban&lt;/Author&gt;&lt;Year&gt;2009&lt;/Year&gt;&lt;RecNum&gt;377&lt;/RecNum&gt;&lt;DisplayText&gt;(Abu Laban et al. 2009)&lt;/DisplayText&gt;&lt;record&gt;&lt;rec-number&gt;377&lt;/rec-number&gt;&lt;foreign-keys&gt;&lt;key app="EN" db-id="wta5x0vxea55r3eterm59stcwfp0zwdzs02r" timestamp="1402383014"&gt;377&lt;/key&gt;&lt;/foreign-keys&gt;&lt;ref-type name="Journal Article"&gt;17&lt;/ref-type&gt;&lt;contributors&gt;&lt;authors&gt;&lt;author&gt;Abu Laban, N.&lt;/author&gt;&lt;author&gt;Selesi, D.&lt;/author&gt;&lt;author&gt;Jobelius, C.&lt;/author&gt;&lt;author&gt;Meckenstock, R. U.&lt;/author&gt;&lt;/authors&gt;&lt;/contributors&gt;&lt;auth-address&gt;Helmholtz Zentrum Munchen-German Research Center for Environmental Health, Institute of Groundwater Ecology, Neuherberg, Germany.&lt;/auth-address&gt;&lt;titles&gt;&lt;title&gt;Anaerobic benzene degradation by Gram-positive sulfate-reducing bacteria&lt;/title&gt;&lt;secondary-title&gt;FEMS Microbiol. Ecol.&lt;/secondary-title&gt;&lt;/titles&gt;&lt;periodical&gt;&lt;full-title&gt;FEMS Microbiol. Ecol.&lt;/full-title&gt;&lt;/periodical&gt;&lt;pages&gt;300-11&lt;/pages&gt;&lt;volume&gt;68&lt;/volume&gt;&lt;number&gt;3&lt;/number&gt;&lt;keywords&gt;&lt;keyword&gt;Anaerobiosis&lt;/keyword&gt;&lt;keyword&gt;Benzene/*metabolism&lt;/keyword&gt;&lt;keyword&gt;Biodegradation, Environmental&lt;/keyword&gt;&lt;keyword&gt;Carbon Dioxide/metabolism&lt;/keyword&gt;&lt;keyword&gt;DNA, Bacterial/genetics&lt;/keyword&gt;&lt;keyword&gt;Gram-Positive Bacteria/genetics/*metabolism&lt;/keyword&gt;&lt;keyword&gt;In Situ Hybridization, Fluorescence&lt;/keyword&gt;&lt;keyword&gt;Oxidation-Reduction&lt;/keyword&gt;&lt;keyword&gt;Phenols/metabolism&lt;/keyword&gt;&lt;keyword&gt;Phylogeny&lt;/keyword&gt;&lt;keyword&gt;Polymorphism, Restriction Fragment Length&lt;/keyword&gt;&lt;keyword&gt;RNA, Ribosomal, 16S/genetics&lt;/keyword&gt;&lt;keyword&gt;Sulfates/*metabolism&lt;/keyword&gt;&lt;keyword&gt;Sulfur-Reducing Bacteria/genetics/*metabolism&lt;/keyword&gt;&lt;/keywords&gt;&lt;dates&gt;&lt;year&gt;2009&lt;/year&gt;&lt;pub-dates&gt;&lt;date&gt;Jun&lt;/date&gt;&lt;/pub-dates&gt;&lt;/dates&gt;&lt;publisher&gt;Blackwell Publishing Ltd&lt;/publisher&gt;&lt;isbn&gt;1574-6941 (Electronic)&amp;#xD;0168-6496 (Linking)&lt;/isbn&gt;&lt;accession-num&gt;19416354&lt;/accession-num&gt;&lt;urls&gt;&lt;related-urls&gt;&lt;url&gt;http://www.ncbi.nlm.nih.gov/pubmed/19416354&lt;/url&gt;&lt;/related-urls&gt;&lt;/urls&gt;&lt;electronic-resource-num&gt;10.1111/j.1574-6941.2009.00672.x&lt;/electronic-resource-num&gt;&lt;/record&gt;&lt;/Cite&gt;&lt;/EndNote&gt;</w:instrText>
      </w:r>
      <w:r w:rsidRPr="005B08EC">
        <w:rPr>
          <w:sz w:val="24"/>
          <w:szCs w:val="24"/>
        </w:rPr>
        <w:fldChar w:fldCharType="separate"/>
      </w:r>
      <w:r w:rsidRPr="005B08EC">
        <w:rPr>
          <w:noProof/>
          <w:sz w:val="24"/>
          <w:szCs w:val="24"/>
          <w:lang w:val="en-US"/>
        </w:rPr>
        <w:t>(Abu Laban et al. 2009)</w:t>
      </w:r>
      <w:r w:rsidRPr="005B08EC">
        <w:rPr>
          <w:sz w:val="24"/>
          <w:szCs w:val="24"/>
        </w:rPr>
        <w:fldChar w:fldCharType="end"/>
      </w:r>
      <w:r w:rsidRPr="005B08EC">
        <w:rPr>
          <w:sz w:val="24"/>
          <w:szCs w:val="24"/>
          <w:lang w:val="en-US"/>
        </w:rPr>
        <w:t>.</w:t>
      </w:r>
      <w:r w:rsidRPr="005B08EC">
        <w:rPr>
          <w:b/>
          <w:sz w:val="24"/>
          <w:szCs w:val="24"/>
          <w:lang w:val="en-US"/>
        </w:rPr>
        <w:t xml:space="preserve"> </w:t>
      </w:r>
      <w:r w:rsidRPr="002E0812">
        <w:rPr>
          <w:sz w:val="24"/>
          <w:szCs w:val="24"/>
          <w:lang w:val="en-US"/>
        </w:rPr>
        <w:t>A gene encoding lactate dehydrogenase (</w:t>
      </w:r>
      <w:r w:rsidRPr="005B08EC">
        <w:rPr>
          <w:color w:val="00B0F0"/>
          <w:sz w:val="24"/>
          <w:szCs w:val="24"/>
          <w:lang w:val="en-US"/>
        </w:rPr>
        <w:t>Ga0073689_2617921153</w:t>
      </w:r>
      <w:r w:rsidRPr="005B08EC">
        <w:rPr>
          <w:sz w:val="24"/>
          <w:szCs w:val="24"/>
          <w:lang w:val="en-US"/>
        </w:rPr>
        <w:t>) was identified in the genome (</w:t>
      </w:r>
      <w:r w:rsidRPr="005B08EC">
        <w:rPr>
          <w:color w:val="00B0F0"/>
          <w:sz w:val="24"/>
          <w:szCs w:val="24"/>
          <w:lang w:val="en-US"/>
        </w:rPr>
        <w:t>Figure 2</w:t>
      </w:r>
      <w:r w:rsidRPr="005B08EC">
        <w:rPr>
          <w:sz w:val="24"/>
          <w:szCs w:val="24"/>
          <w:lang w:val="en-US"/>
        </w:rPr>
        <w:t>). Pyruvate is the main metabolic intermediate in the oxidation of lactate (</w:t>
      </w:r>
      <w:r w:rsidRPr="005B08EC">
        <w:rPr>
          <w:color w:val="00B0F0"/>
          <w:sz w:val="24"/>
          <w:szCs w:val="24"/>
          <w:lang w:val="en-US"/>
        </w:rPr>
        <w:t>Figure 2</w:t>
      </w:r>
      <w:r w:rsidRPr="005B08EC">
        <w:rPr>
          <w:sz w:val="24"/>
          <w:szCs w:val="24"/>
          <w:lang w:val="en-US"/>
        </w:rPr>
        <w:t>). A gene for a decarboxylating pyruvate-ferredoxin/flavodoxin oxidoreductase (</w:t>
      </w:r>
      <w:r w:rsidRPr="005B08EC">
        <w:rPr>
          <w:color w:val="00B0F0"/>
          <w:sz w:val="24"/>
          <w:szCs w:val="24"/>
          <w:lang w:val="en-US"/>
        </w:rPr>
        <w:t>Ga0073689_2617921288</w:t>
      </w:r>
      <w:r w:rsidRPr="005B08EC">
        <w:rPr>
          <w:sz w:val="24"/>
          <w:szCs w:val="24"/>
          <w:lang w:val="en-US"/>
        </w:rPr>
        <w:t>) was identified in the genome indicating oxidative decarboxylation of pyruvate to acetyl-CoA (</w:t>
      </w:r>
      <w:r w:rsidRPr="005B08EC">
        <w:rPr>
          <w:color w:val="00B0F0"/>
          <w:sz w:val="24"/>
          <w:szCs w:val="24"/>
          <w:lang w:val="en-US"/>
        </w:rPr>
        <w:t>Figure 2</w:t>
      </w:r>
      <w:r w:rsidRPr="005B08EC">
        <w:rPr>
          <w:sz w:val="24"/>
          <w:szCs w:val="24"/>
          <w:lang w:val="en-US"/>
        </w:rPr>
        <w:t>). Furthermore, genes encoding for alcohol dehydrogenase (</w:t>
      </w:r>
      <w:r w:rsidRPr="005B08EC">
        <w:rPr>
          <w:color w:val="00B0F0"/>
          <w:sz w:val="24"/>
          <w:szCs w:val="24"/>
          <w:lang w:val="en-US"/>
        </w:rPr>
        <w:t>Ga0073689_26179211450</w:t>
      </w:r>
      <w:r w:rsidRPr="005B08EC">
        <w:rPr>
          <w:sz w:val="24"/>
          <w:szCs w:val="24"/>
          <w:lang w:val="en-US"/>
        </w:rPr>
        <w:t>) and acetaldehyde dehydrogenase (</w:t>
      </w:r>
      <w:r w:rsidRPr="005B08EC">
        <w:rPr>
          <w:color w:val="00B0F0"/>
          <w:sz w:val="24"/>
          <w:szCs w:val="24"/>
          <w:lang w:val="en-US"/>
        </w:rPr>
        <w:t>Ga0073689_2617919672</w:t>
      </w:r>
      <w:r w:rsidRPr="005B08EC">
        <w:rPr>
          <w:sz w:val="24"/>
          <w:szCs w:val="24"/>
          <w:lang w:val="en-US"/>
        </w:rPr>
        <w:t>) needed for ethanol oxidation were identified (</w:t>
      </w:r>
      <w:r w:rsidRPr="005B08EC">
        <w:rPr>
          <w:color w:val="00B0F0"/>
          <w:sz w:val="24"/>
          <w:szCs w:val="24"/>
          <w:lang w:val="en-US"/>
        </w:rPr>
        <w:t>Figure 2</w:t>
      </w:r>
      <w:r w:rsidRPr="005B08EC">
        <w:rPr>
          <w:sz w:val="24"/>
          <w:szCs w:val="24"/>
          <w:lang w:val="en-US"/>
        </w:rPr>
        <w:t xml:space="preserve">). </w:t>
      </w:r>
    </w:p>
    <w:p w:rsidR="006E2B3A" w:rsidRPr="005B08EC" w:rsidRDefault="006E2B3A" w:rsidP="006E2B3A">
      <w:pPr>
        <w:spacing w:before="100" w:beforeAutospacing="1" w:after="100" w:afterAutospacing="1" w:line="480" w:lineRule="auto"/>
        <w:rPr>
          <w:sz w:val="24"/>
          <w:szCs w:val="24"/>
          <w:lang w:val="en-US"/>
        </w:rPr>
      </w:pPr>
      <w:r w:rsidRPr="005B08EC">
        <w:rPr>
          <w:sz w:val="24"/>
          <w:szCs w:val="24"/>
          <w:lang w:val="en-US"/>
        </w:rPr>
        <w:t xml:space="preserve">However, the enrichment culture BPL is not pure and it can thus not be tested with conventional methods for substrate utilization. Due to the extremely slow growth of </w:t>
      </w:r>
      <w:r w:rsidRPr="005B08EC">
        <w:rPr>
          <w:i/>
          <w:sz w:val="24"/>
          <w:szCs w:val="24"/>
          <w:lang w:val="en-US"/>
        </w:rPr>
        <w:t>Pelotomaculum</w:t>
      </w:r>
      <w:r w:rsidRPr="005B08EC">
        <w:rPr>
          <w:sz w:val="24"/>
          <w:szCs w:val="24"/>
          <w:lang w:val="en-US"/>
        </w:rPr>
        <w:t xml:space="preserve"> candidate BPL with doubling times longer than two weeks other microorganisms quickly overgrow and prohibit a thorough evaluation of growth. The further characterization has thus to await a purification of the strain which was not successful so far due to the same reasons.</w:t>
      </w:r>
    </w:p>
    <w:p w:rsidR="006E2B3A" w:rsidRPr="005B08EC" w:rsidRDefault="006E2B3A" w:rsidP="006E2B3A">
      <w:pPr>
        <w:spacing w:before="100" w:beforeAutospacing="1" w:after="100" w:afterAutospacing="1" w:line="480" w:lineRule="auto"/>
        <w:rPr>
          <w:b/>
          <w:sz w:val="24"/>
          <w:szCs w:val="24"/>
          <w:lang w:val="en-US"/>
        </w:rPr>
      </w:pPr>
      <w:r w:rsidRPr="005B08EC">
        <w:rPr>
          <w:b/>
          <w:sz w:val="24"/>
          <w:szCs w:val="24"/>
          <w:lang w:val="en-US"/>
        </w:rPr>
        <w:t>Transporter system</w:t>
      </w:r>
    </w:p>
    <w:p w:rsidR="006E2B3A" w:rsidRPr="005B08EC" w:rsidRDefault="006E2B3A" w:rsidP="006E2B3A">
      <w:pPr>
        <w:spacing w:before="100" w:beforeAutospacing="1" w:after="100" w:afterAutospacing="1" w:line="480" w:lineRule="auto"/>
        <w:rPr>
          <w:sz w:val="24"/>
          <w:szCs w:val="24"/>
          <w:lang w:val="en-US"/>
        </w:rPr>
      </w:pPr>
      <w:r w:rsidRPr="005B08EC">
        <w:rPr>
          <w:sz w:val="24"/>
          <w:szCs w:val="24"/>
          <w:lang w:val="en-US"/>
        </w:rPr>
        <w:t>In the genome, 229 genes were putatively encoding for transporter proteins, 90 of which belong to ATP-binding cassette transporters (ABC transporters) (</w:t>
      </w:r>
      <w:r w:rsidRPr="005B08EC">
        <w:rPr>
          <w:color w:val="00B0F0"/>
          <w:sz w:val="24"/>
          <w:szCs w:val="24"/>
          <w:lang w:val="en-US"/>
        </w:rPr>
        <w:t>Figure 2</w:t>
      </w:r>
      <w:r w:rsidRPr="005B08EC">
        <w:rPr>
          <w:sz w:val="24"/>
          <w:szCs w:val="24"/>
          <w:lang w:val="en-US"/>
        </w:rPr>
        <w:t xml:space="preserve">). No clear annotation was shown to be related to sulfate transporters. However, several hits showed homology to sulfate permease proteins. For example, gene </w:t>
      </w:r>
      <w:r w:rsidRPr="005B08EC">
        <w:rPr>
          <w:iCs/>
          <w:color w:val="00B0F0"/>
          <w:sz w:val="24"/>
          <w:szCs w:val="24"/>
          <w:lang w:val="en-US"/>
        </w:rPr>
        <w:t>Ga0073689_</w:t>
      </w:r>
      <w:r w:rsidRPr="005B08EC">
        <w:rPr>
          <w:color w:val="00B0F0"/>
          <w:sz w:val="24"/>
          <w:szCs w:val="24"/>
          <w:lang w:val="en-US"/>
        </w:rPr>
        <w:t xml:space="preserve">2617920919 </w:t>
      </w:r>
      <w:r w:rsidRPr="005B08EC">
        <w:rPr>
          <w:sz w:val="24"/>
          <w:szCs w:val="24"/>
          <w:lang w:val="en-US"/>
        </w:rPr>
        <w:t>was annotated as phosphate/sulfate permease.</w:t>
      </w:r>
    </w:p>
    <w:p w:rsidR="006E2B3A" w:rsidRPr="005B08EC" w:rsidRDefault="006E2B3A" w:rsidP="006E2B3A">
      <w:pPr>
        <w:spacing w:before="100" w:beforeAutospacing="1" w:after="100" w:afterAutospacing="1" w:line="480" w:lineRule="auto"/>
        <w:rPr>
          <w:b/>
          <w:sz w:val="24"/>
          <w:szCs w:val="24"/>
          <w:lang w:val="en-US"/>
        </w:rPr>
      </w:pPr>
      <w:r w:rsidRPr="005B08EC">
        <w:rPr>
          <w:b/>
          <w:sz w:val="24"/>
          <w:szCs w:val="24"/>
          <w:lang w:val="en-US"/>
        </w:rPr>
        <w:t>Nitrogen fixation</w:t>
      </w:r>
    </w:p>
    <w:p w:rsidR="006E2B3A" w:rsidRPr="005B08EC" w:rsidRDefault="006E2B3A" w:rsidP="006E2B3A">
      <w:pPr>
        <w:spacing w:before="100" w:beforeAutospacing="1" w:after="100" w:afterAutospacing="1" w:line="480" w:lineRule="auto"/>
        <w:rPr>
          <w:sz w:val="24"/>
          <w:szCs w:val="24"/>
          <w:lang w:val="en-US"/>
        </w:rPr>
      </w:pPr>
      <w:r w:rsidRPr="005B08EC">
        <w:rPr>
          <w:sz w:val="24"/>
          <w:szCs w:val="24"/>
          <w:lang w:val="en-US"/>
        </w:rPr>
        <w:t xml:space="preserve">Similar to the Gram-positive, sulfate-reducing bacterium </w:t>
      </w:r>
      <w:r w:rsidRPr="005B08EC">
        <w:rPr>
          <w:i/>
          <w:sz w:val="24"/>
          <w:szCs w:val="24"/>
          <w:lang w:val="en-US"/>
        </w:rPr>
        <w:t>Desulfotomaculum gibsoniae</w:t>
      </w:r>
      <w:r w:rsidRPr="005B08EC">
        <w:rPr>
          <w:sz w:val="24"/>
          <w:szCs w:val="24"/>
          <w:lang w:val="en-US"/>
        </w:rPr>
        <w:t xml:space="preserve"> GrollT, a complete cluster of nitrogenase genes (</w:t>
      </w:r>
      <w:r w:rsidRPr="005B08EC">
        <w:rPr>
          <w:iCs/>
          <w:color w:val="00B0F0"/>
          <w:sz w:val="24"/>
          <w:szCs w:val="24"/>
          <w:lang w:val="en-US"/>
        </w:rPr>
        <w:t>Ga0073689_</w:t>
      </w:r>
      <w:r w:rsidRPr="005B08EC">
        <w:rPr>
          <w:color w:val="00B0F0"/>
          <w:sz w:val="24"/>
          <w:szCs w:val="24"/>
          <w:lang w:val="en-US"/>
        </w:rPr>
        <w:t>2617920486-95</w:t>
      </w:r>
      <w:r w:rsidRPr="005B08EC">
        <w:rPr>
          <w:sz w:val="24"/>
          <w:szCs w:val="24"/>
          <w:lang w:val="en-US"/>
        </w:rPr>
        <w:t>) (</w:t>
      </w:r>
      <w:r w:rsidRPr="005B08EC">
        <w:rPr>
          <w:color w:val="00B0F0"/>
          <w:sz w:val="24"/>
          <w:szCs w:val="24"/>
          <w:lang w:val="en-US"/>
        </w:rPr>
        <w:t>Table S2</w:t>
      </w:r>
      <w:r w:rsidRPr="005B08EC">
        <w:rPr>
          <w:sz w:val="24"/>
          <w:szCs w:val="24"/>
          <w:lang w:val="en-US"/>
        </w:rPr>
        <w:t xml:space="preserve">) was identified within the annotated genome sequence, which we could not find in the genome of </w:t>
      </w:r>
      <w:r w:rsidRPr="005B08EC">
        <w:rPr>
          <w:i/>
          <w:sz w:val="24"/>
          <w:szCs w:val="24"/>
          <w:lang w:val="en-US"/>
        </w:rPr>
        <w:t>Pelotomaculum thermopropionicum</w:t>
      </w:r>
      <w:r w:rsidRPr="005B08EC">
        <w:rPr>
          <w:sz w:val="24"/>
          <w:szCs w:val="24"/>
          <w:lang w:val="en-US"/>
        </w:rPr>
        <w:t xml:space="preserve"> SI </w:t>
      </w:r>
      <w:r w:rsidRPr="005B08EC">
        <w:rPr>
          <w:sz w:val="24"/>
          <w:szCs w:val="24"/>
          <w:lang w:val="en-US"/>
        </w:rPr>
        <w:fldChar w:fldCharType="begin">
          <w:fldData xml:space="preserve">PEVuZE5vdGU+PENpdGU+PEF1dGhvcj5LdWV2ZXI8L0F1dGhvcj48WWVhcj4yMDE0PC9ZZWFyPjxS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</w:fldData>
        </w:fldChar>
      </w:r>
      <w:r w:rsidRPr="005B08EC">
        <w:rPr>
          <w:sz w:val="24"/>
          <w:szCs w:val="24"/>
          <w:lang w:val="en-US"/>
        </w:rPr>
        <w:instrText xml:space="preserve"> ADDIN EN.CITE </w:instrText>
      </w:r>
      <w:r w:rsidRPr="008E1FC3">
        <w:rPr>
          <w:sz w:val="24"/>
          <w:szCs w:val="24"/>
          <w:lang w:val="en-US"/>
        </w:rPr>
        <w:fldChar w:fldCharType="begin">
          <w:fldData xml:space="preserve">PEVuZE5vdGU+PENpdGU+PEF1dGhvcj5LdWV2ZXI8L0F1dGhvcj48WWVhcj4yMDE0PC9ZZWFyPjxS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</w:fldData>
        </w:fldChar>
      </w:r>
      <w:r w:rsidRPr="005B08EC">
        <w:rPr>
          <w:sz w:val="24"/>
          <w:szCs w:val="24"/>
          <w:lang w:val="en-US"/>
        </w:rPr>
        <w:instrText xml:space="preserve"> ADDIN EN.CITE.DATA </w:instrText>
      </w:r>
      <w:r w:rsidRPr="008E1FC3">
        <w:rPr>
          <w:sz w:val="24"/>
          <w:szCs w:val="24"/>
          <w:lang w:val="en-US"/>
        </w:rPr>
      </w:r>
      <w:r w:rsidRPr="008E1FC3">
        <w:rPr>
          <w:sz w:val="24"/>
          <w:szCs w:val="24"/>
          <w:lang w:val="en-US"/>
        </w:rPr>
        <w:fldChar w:fldCharType="end"/>
      </w:r>
      <w:r w:rsidRPr="005B08EC">
        <w:rPr>
          <w:sz w:val="24"/>
          <w:szCs w:val="24"/>
          <w:lang w:val="en-US"/>
        </w:rPr>
      </w:r>
      <w:r w:rsidRPr="005B08EC">
        <w:rPr>
          <w:sz w:val="24"/>
          <w:szCs w:val="24"/>
          <w:lang w:val="en-US"/>
        </w:rPr>
        <w:fldChar w:fldCharType="separate"/>
      </w:r>
      <w:r w:rsidRPr="005B08EC">
        <w:rPr>
          <w:noProof/>
          <w:sz w:val="24"/>
          <w:szCs w:val="24"/>
          <w:lang w:val="en-US"/>
        </w:rPr>
        <w:t>(Kuever et al. 2014)</w:t>
      </w:r>
      <w:r w:rsidRPr="005B08EC">
        <w:rPr>
          <w:sz w:val="24"/>
          <w:szCs w:val="24"/>
          <w:lang w:val="en-US"/>
        </w:rPr>
        <w:fldChar w:fldCharType="end"/>
      </w:r>
      <w:r w:rsidRPr="005B08EC">
        <w:rPr>
          <w:sz w:val="24"/>
          <w:szCs w:val="24"/>
          <w:lang w:val="en-US"/>
        </w:rPr>
        <w:t xml:space="preserve">. These nitrogen-fixation (nif) genes indicate that </w:t>
      </w:r>
      <w:r w:rsidRPr="005B08EC">
        <w:rPr>
          <w:i/>
          <w:sz w:val="24"/>
          <w:szCs w:val="24"/>
          <w:lang w:val="en-US"/>
        </w:rPr>
        <w:t>Pelotomaculum</w:t>
      </w:r>
      <w:r w:rsidRPr="005B08EC">
        <w:rPr>
          <w:sz w:val="24"/>
          <w:szCs w:val="24"/>
          <w:lang w:val="en-US"/>
        </w:rPr>
        <w:t xml:space="preserve"> candidate BPL probably has the ability for nitrogen fixation, which awaits to be tested.</w:t>
      </w:r>
    </w:p>
    <w:p w:rsidR="006E2B3A" w:rsidRPr="005B08EC" w:rsidRDefault="006E2B3A" w:rsidP="006E2B3A">
      <w:pPr>
        <w:spacing w:before="100" w:beforeAutospacing="1" w:after="100" w:afterAutospacing="1" w:line="480" w:lineRule="auto"/>
        <w:rPr>
          <w:b/>
          <w:sz w:val="24"/>
          <w:szCs w:val="24"/>
          <w:lang w:val="en-US"/>
        </w:rPr>
      </w:pPr>
      <w:r w:rsidRPr="005B08EC">
        <w:rPr>
          <w:b/>
          <w:sz w:val="24"/>
          <w:szCs w:val="24"/>
          <w:lang w:val="en-US"/>
        </w:rPr>
        <w:t>Stress response</w:t>
      </w:r>
    </w:p>
    <w:p w:rsidR="006E2B3A" w:rsidRPr="005B08EC" w:rsidRDefault="006E2B3A" w:rsidP="006E2B3A">
      <w:pPr>
        <w:spacing w:before="100" w:beforeAutospacing="1" w:after="100" w:afterAutospacing="1" w:line="480" w:lineRule="auto"/>
        <w:rPr>
          <w:sz w:val="24"/>
          <w:szCs w:val="24"/>
          <w:lang w:val="en-US"/>
        </w:rPr>
      </w:pPr>
      <w:r w:rsidRPr="005B08EC">
        <w:rPr>
          <w:sz w:val="24"/>
          <w:szCs w:val="24"/>
          <w:lang w:val="en-US"/>
        </w:rPr>
        <w:t>Several proteins related to general stress response were identified in the proteome, e.g. cold shock proteins (</w:t>
      </w:r>
      <w:r w:rsidRPr="005B08EC">
        <w:rPr>
          <w:iCs/>
          <w:color w:val="00B0F0"/>
          <w:sz w:val="24"/>
          <w:szCs w:val="24"/>
          <w:lang w:val="en-US"/>
        </w:rPr>
        <w:t>Ga0073689_</w:t>
      </w:r>
      <w:r w:rsidRPr="005B08EC">
        <w:rPr>
          <w:color w:val="00B0F0"/>
          <w:sz w:val="24"/>
          <w:szCs w:val="24"/>
          <w:lang w:val="en-US"/>
        </w:rPr>
        <w:t>2617921875 and 2617919895</w:t>
      </w:r>
      <w:r w:rsidRPr="005B08EC">
        <w:rPr>
          <w:sz w:val="24"/>
          <w:szCs w:val="24"/>
          <w:lang w:val="en-US"/>
        </w:rPr>
        <w:t>), alkaline shock protein (</w:t>
      </w:r>
      <w:r w:rsidRPr="005B08EC">
        <w:rPr>
          <w:iCs/>
          <w:color w:val="00B0F0"/>
          <w:sz w:val="24"/>
          <w:szCs w:val="24"/>
          <w:lang w:val="en-US"/>
        </w:rPr>
        <w:t>Ga0073689_</w:t>
      </w:r>
      <w:r w:rsidRPr="005B08EC">
        <w:rPr>
          <w:color w:val="00B0F0"/>
          <w:sz w:val="24"/>
          <w:szCs w:val="24"/>
          <w:lang w:val="en-US"/>
        </w:rPr>
        <w:t>2617920373 and 2617921451</w:t>
      </w:r>
      <w:r w:rsidRPr="005B08EC">
        <w:rPr>
          <w:sz w:val="24"/>
          <w:szCs w:val="24"/>
          <w:lang w:val="en-US"/>
        </w:rPr>
        <w:t>), and heat shock protein (</w:t>
      </w:r>
      <w:r w:rsidRPr="005B08EC">
        <w:rPr>
          <w:iCs/>
          <w:color w:val="00B0F0"/>
          <w:sz w:val="24"/>
          <w:szCs w:val="24"/>
          <w:lang w:val="en-US"/>
        </w:rPr>
        <w:t>Ga0073689_</w:t>
      </w:r>
      <w:r w:rsidRPr="005B08EC">
        <w:rPr>
          <w:color w:val="00B0F0"/>
          <w:sz w:val="24"/>
          <w:szCs w:val="24"/>
          <w:lang w:val="en-US"/>
        </w:rPr>
        <w:t>2617921571</w:t>
      </w:r>
      <w:r w:rsidRPr="005B08EC">
        <w:rPr>
          <w:sz w:val="24"/>
          <w:szCs w:val="24"/>
          <w:lang w:val="en-US"/>
        </w:rPr>
        <w:t>) (</w:t>
      </w:r>
      <w:r w:rsidRPr="005B08EC">
        <w:rPr>
          <w:color w:val="00B0F0"/>
          <w:sz w:val="24"/>
          <w:szCs w:val="24"/>
          <w:lang w:val="en-US"/>
        </w:rPr>
        <w:t>Table S1</w:t>
      </w:r>
      <w:r w:rsidRPr="005B08EC">
        <w:rPr>
          <w:sz w:val="24"/>
          <w:szCs w:val="24"/>
          <w:lang w:val="en-US"/>
        </w:rPr>
        <w:t>). The genome contains genes encoding two thioredoxins (</w:t>
      </w:r>
      <w:r w:rsidRPr="005B08EC">
        <w:rPr>
          <w:iCs/>
          <w:color w:val="00B0F0"/>
          <w:sz w:val="24"/>
          <w:szCs w:val="24"/>
          <w:lang w:val="en-US"/>
        </w:rPr>
        <w:t>Ga0073689_</w:t>
      </w:r>
      <w:r w:rsidRPr="005B08EC">
        <w:rPr>
          <w:color w:val="00B0F0"/>
          <w:sz w:val="24"/>
          <w:szCs w:val="24"/>
          <w:lang w:val="en-US"/>
        </w:rPr>
        <w:t>2617921787 and 2617922188</w:t>
      </w:r>
      <w:r w:rsidRPr="005B08EC">
        <w:rPr>
          <w:sz w:val="24"/>
          <w:szCs w:val="24"/>
          <w:lang w:val="en-US"/>
        </w:rPr>
        <w:t>), two peroxiredoxins (</w:t>
      </w:r>
      <w:r w:rsidRPr="005B08EC">
        <w:rPr>
          <w:iCs/>
          <w:color w:val="00B0F0"/>
          <w:sz w:val="24"/>
          <w:szCs w:val="24"/>
          <w:lang w:val="en-US"/>
        </w:rPr>
        <w:t>Ga0073689_</w:t>
      </w:r>
      <w:r w:rsidRPr="005B08EC">
        <w:rPr>
          <w:color w:val="00B0F0"/>
          <w:sz w:val="24"/>
          <w:szCs w:val="24"/>
          <w:lang w:val="en-US"/>
        </w:rPr>
        <w:t>2617919432 and 2617921788</w:t>
      </w:r>
      <w:r w:rsidRPr="005B08EC">
        <w:rPr>
          <w:sz w:val="24"/>
          <w:szCs w:val="24"/>
          <w:lang w:val="en-US"/>
        </w:rPr>
        <w:t>), three superoxide dismutases (</w:t>
      </w:r>
      <w:r w:rsidRPr="005B08EC">
        <w:rPr>
          <w:iCs/>
          <w:color w:val="00B0F0"/>
          <w:sz w:val="24"/>
          <w:szCs w:val="24"/>
          <w:lang w:val="en-US"/>
        </w:rPr>
        <w:t>Ga0073689_</w:t>
      </w:r>
      <w:r w:rsidRPr="005B08EC">
        <w:rPr>
          <w:color w:val="00B0F0"/>
          <w:sz w:val="24"/>
          <w:szCs w:val="24"/>
          <w:lang w:val="en-US"/>
        </w:rPr>
        <w:t>2617920589, 2617920591 and 2617921671</w:t>
      </w:r>
      <w:r w:rsidRPr="005B08EC">
        <w:rPr>
          <w:sz w:val="24"/>
          <w:szCs w:val="24"/>
          <w:lang w:val="en-US"/>
        </w:rPr>
        <w:t>), one rubredoxin (</w:t>
      </w:r>
      <w:r w:rsidRPr="005B08EC">
        <w:rPr>
          <w:iCs/>
          <w:color w:val="00B0F0"/>
          <w:sz w:val="24"/>
          <w:szCs w:val="24"/>
          <w:lang w:val="en-US"/>
        </w:rPr>
        <w:t>Ga0073689_</w:t>
      </w:r>
      <w:r w:rsidRPr="005B08EC">
        <w:rPr>
          <w:color w:val="00B0F0"/>
          <w:sz w:val="24"/>
          <w:szCs w:val="24"/>
          <w:lang w:val="en-US"/>
        </w:rPr>
        <w:t>2617920590</w:t>
      </w:r>
      <w:r w:rsidRPr="005B08EC">
        <w:rPr>
          <w:sz w:val="24"/>
          <w:szCs w:val="24"/>
          <w:lang w:val="en-US"/>
        </w:rPr>
        <w:t>), one rubrerythrin (</w:t>
      </w:r>
      <w:r w:rsidRPr="005B08EC">
        <w:rPr>
          <w:iCs/>
          <w:color w:val="00B0F0"/>
          <w:sz w:val="24"/>
          <w:szCs w:val="24"/>
          <w:lang w:val="en-US"/>
        </w:rPr>
        <w:t>Ga0073689_</w:t>
      </w:r>
      <w:r w:rsidRPr="005B08EC">
        <w:rPr>
          <w:color w:val="00B0F0"/>
          <w:sz w:val="24"/>
          <w:szCs w:val="24"/>
          <w:lang w:val="en-US"/>
        </w:rPr>
        <w:t>2617921139</w:t>
      </w:r>
      <w:r w:rsidRPr="005B08EC">
        <w:rPr>
          <w:sz w:val="24"/>
          <w:szCs w:val="24"/>
          <w:lang w:val="en-US"/>
        </w:rPr>
        <w:t>), and one desulfoferrodoxin (</w:t>
      </w:r>
      <w:r w:rsidRPr="005B08EC">
        <w:rPr>
          <w:iCs/>
          <w:color w:val="00B0F0"/>
          <w:sz w:val="24"/>
          <w:szCs w:val="24"/>
          <w:lang w:val="en-US"/>
        </w:rPr>
        <w:t>Ga0073689_</w:t>
      </w:r>
      <w:r w:rsidRPr="005B08EC">
        <w:rPr>
          <w:color w:val="00B0F0"/>
          <w:sz w:val="24"/>
          <w:szCs w:val="24"/>
          <w:lang w:val="en-US"/>
        </w:rPr>
        <w:t>2617920594</w:t>
      </w:r>
      <w:r w:rsidRPr="005B08EC">
        <w:rPr>
          <w:sz w:val="24"/>
          <w:szCs w:val="24"/>
          <w:lang w:val="en-US"/>
        </w:rPr>
        <w:t xml:space="preserve">) possibly preventing damage from oxidative stress. Among them, superoxide dismutases and rubrerythrin were identified in the proteome during growth with benzene. </w:t>
      </w:r>
    </w:p>
    <w:p w:rsidR="006E2B3A" w:rsidRPr="005B08EC" w:rsidRDefault="006E2B3A" w:rsidP="006E2B3A">
      <w:pPr>
        <w:spacing w:before="100" w:beforeAutospacing="1" w:after="100" w:afterAutospacing="1" w:line="480" w:lineRule="auto"/>
        <w:rPr>
          <w:b/>
          <w:sz w:val="24"/>
          <w:szCs w:val="24"/>
          <w:lang w:val="en-US"/>
        </w:rPr>
      </w:pPr>
      <w:r w:rsidRPr="005B08EC">
        <w:rPr>
          <w:b/>
          <w:sz w:val="24"/>
          <w:szCs w:val="24"/>
          <w:lang w:val="en-US"/>
        </w:rPr>
        <w:t>Motility and chemotaxis</w:t>
      </w:r>
    </w:p>
    <w:p w:rsidR="006E2B3A" w:rsidRPr="005B08EC" w:rsidRDefault="006E2B3A" w:rsidP="005B08EC">
      <w:pPr>
        <w:spacing w:before="100" w:beforeAutospacing="1" w:after="100" w:afterAutospacing="1" w:line="480" w:lineRule="auto"/>
        <w:rPr>
          <w:sz w:val="24"/>
          <w:szCs w:val="24"/>
          <w:lang w:val="en-US"/>
        </w:rPr>
      </w:pPr>
      <w:r w:rsidRPr="005B08EC">
        <w:rPr>
          <w:sz w:val="24"/>
          <w:szCs w:val="24"/>
          <w:lang w:val="en-US"/>
        </w:rPr>
        <w:t xml:space="preserve">Akin to </w:t>
      </w:r>
      <w:r w:rsidRPr="005B08EC">
        <w:rPr>
          <w:i/>
          <w:sz w:val="24"/>
          <w:szCs w:val="24"/>
          <w:lang w:val="en-US"/>
        </w:rPr>
        <w:t>Pelotomaculum thermopropionicum</w:t>
      </w:r>
      <w:r w:rsidRPr="005B08EC">
        <w:rPr>
          <w:sz w:val="24"/>
          <w:szCs w:val="24"/>
          <w:lang w:val="en-US"/>
        </w:rPr>
        <w:t xml:space="preserve"> SI,</w:t>
      </w:r>
      <w:r w:rsidRPr="005B08EC">
        <w:rPr>
          <w:b/>
          <w:sz w:val="24"/>
          <w:szCs w:val="24"/>
          <w:lang w:val="en-US"/>
        </w:rPr>
        <w:t xml:space="preserve"> </w:t>
      </w:r>
      <w:r w:rsidRPr="005B08EC">
        <w:rPr>
          <w:i/>
          <w:sz w:val="24"/>
          <w:szCs w:val="24"/>
          <w:lang w:val="en-US"/>
        </w:rPr>
        <w:t xml:space="preserve">Pelotomaculum </w:t>
      </w:r>
      <w:r w:rsidRPr="005B08EC">
        <w:rPr>
          <w:sz w:val="24"/>
          <w:szCs w:val="24"/>
          <w:lang w:val="en-US"/>
        </w:rPr>
        <w:t xml:space="preserve">candidate BPL has a set of 27 genes encoding flagella structural proteins. Like in other Firmicutes, the genes encoding L and P ring proteins FlgH and FlgI are absent. Additionally, 16 chemotaxis proteins were identified in the proteome, including three methyl-accepting chemotaxis proteins. Most likely, these proteins allow </w:t>
      </w:r>
      <w:r w:rsidRPr="005B08EC">
        <w:rPr>
          <w:i/>
          <w:sz w:val="24"/>
          <w:szCs w:val="24"/>
          <w:lang w:val="en-US"/>
        </w:rPr>
        <w:t xml:space="preserve">Pelotomaculum </w:t>
      </w:r>
      <w:r w:rsidRPr="005B08EC">
        <w:rPr>
          <w:sz w:val="24"/>
          <w:szCs w:val="24"/>
          <w:lang w:val="en-US"/>
        </w:rPr>
        <w:t>candidate BPL to sense environmental changes and move towards favorable locations. However, chemotaxis has not been studied experimentally, so far.</w:t>
      </w:r>
    </w:p>
    <w:p w:rsidR="005B08EC" w:rsidRPr="008E1FC3" w:rsidRDefault="005B08EC" w:rsidP="002E0812">
      <w:pPr>
        <w:spacing w:before="100" w:beforeAutospacing="1" w:after="100" w:afterAutospacing="1" w:line="480" w:lineRule="auto"/>
        <w:rPr>
          <w:b/>
          <w:sz w:val="24"/>
          <w:szCs w:val="24"/>
          <w:lang w:val="en-US"/>
        </w:rPr>
      </w:pPr>
      <w:r w:rsidRPr="008E1FC3">
        <w:rPr>
          <w:b/>
          <w:sz w:val="24"/>
          <w:szCs w:val="24"/>
          <w:lang w:val="en-US"/>
        </w:rPr>
        <w:t>References</w:t>
      </w:r>
    </w:p>
    <w:p w:rsidR="005B08EC" w:rsidRPr="008E1FC3" w:rsidRDefault="005B08EC" w:rsidP="008E1FC3">
      <w:pPr>
        <w:pStyle w:val="EndNoteBibliography"/>
        <w:spacing w:after="0" w:line="480" w:lineRule="auto"/>
        <w:ind w:left="720" w:hanging="720"/>
        <w:rPr>
          <w:sz w:val="24"/>
          <w:szCs w:val="24"/>
          <w:lang w:val="en-US"/>
        </w:rPr>
      </w:pPr>
      <w:r w:rsidRPr="008E1FC3">
        <w:rPr>
          <w:sz w:val="24"/>
          <w:szCs w:val="24"/>
          <w:lang w:val="en-US"/>
        </w:rPr>
        <w:fldChar w:fldCharType="begin"/>
      </w:r>
      <w:r w:rsidRPr="008E1FC3">
        <w:rPr>
          <w:sz w:val="24"/>
          <w:szCs w:val="24"/>
          <w:lang w:val="en-US"/>
        </w:rPr>
        <w:instrText xml:space="preserve"> ADDIN EN.REFLIST </w:instrText>
      </w:r>
      <w:r w:rsidRPr="008E1FC3">
        <w:rPr>
          <w:sz w:val="24"/>
          <w:szCs w:val="24"/>
          <w:lang w:val="en-US"/>
        </w:rPr>
        <w:fldChar w:fldCharType="separate"/>
      </w:r>
      <w:r w:rsidRPr="008E1FC3">
        <w:rPr>
          <w:sz w:val="24"/>
          <w:szCs w:val="24"/>
          <w:lang w:val="en-US"/>
        </w:rPr>
        <w:t>Abu Laban N, Selesi D, Jobelius C</w:t>
      </w:r>
      <w:r w:rsidRPr="008E1FC3">
        <w:rPr>
          <w:i/>
          <w:sz w:val="24"/>
          <w:szCs w:val="24"/>
          <w:lang w:val="en-US"/>
        </w:rPr>
        <w:t xml:space="preserve"> et al.</w:t>
      </w:r>
      <w:r w:rsidRPr="008E1FC3">
        <w:rPr>
          <w:sz w:val="24"/>
          <w:szCs w:val="24"/>
          <w:lang w:val="en-US"/>
        </w:rPr>
        <w:t xml:space="preserve"> Anaerobic benzene degradation by Gram-positive sulfate-reducing bacteria. </w:t>
      </w:r>
      <w:r w:rsidRPr="008E1FC3">
        <w:rPr>
          <w:i/>
          <w:sz w:val="24"/>
          <w:szCs w:val="24"/>
          <w:lang w:val="en-US"/>
        </w:rPr>
        <w:t xml:space="preserve">FEMS Microbiol Ecol </w:t>
      </w:r>
      <w:r w:rsidRPr="008E1FC3">
        <w:rPr>
          <w:sz w:val="24"/>
          <w:szCs w:val="24"/>
          <w:lang w:val="en-US"/>
        </w:rPr>
        <w:t>2009;</w:t>
      </w:r>
      <w:r w:rsidRPr="008E1FC3">
        <w:rPr>
          <w:b/>
          <w:sz w:val="24"/>
          <w:szCs w:val="24"/>
          <w:lang w:val="en-US"/>
        </w:rPr>
        <w:t>68</w:t>
      </w:r>
      <w:r w:rsidRPr="008E1FC3">
        <w:rPr>
          <w:sz w:val="24"/>
          <w:szCs w:val="24"/>
          <w:lang w:val="en-US"/>
        </w:rPr>
        <w:t>: 300-11.</w:t>
      </w:r>
    </w:p>
    <w:p w:rsidR="005B08EC" w:rsidRPr="008E1FC3" w:rsidRDefault="005B08EC" w:rsidP="008E1FC3">
      <w:pPr>
        <w:pStyle w:val="EndNoteBibliography"/>
        <w:spacing w:line="480" w:lineRule="auto"/>
        <w:ind w:left="720" w:hanging="720"/>
        <w:rPr>
          <w:sz w:val="24"/>
          <w:szCs w:val="24"/>
        </w:rPr>
      </w:pPr>
      <w:bookmarkStart w:id="4" w:name="OLE_LINK1"/>
      <w:r w:rsidRPr="008E1FC3">
        <w:rPr>
          <w:sz w:val="24"/>
          <w:szCs w:val="24"/>
          <w:lang w:val="en-US"/>
        </w:rPr>
        <w:t xml:space="preserve">Kuever </w:t>
      </w:r>
      <w:bookmarkEnd w:id="4"/>
      <w:r w:rsidRPr="008E1FC3">
        <w:rPr>
          <w:sz w:val="24"/>
          <w:szCs w:val="24"/>
          <w:lang w:val="en-US"/>
        </w:rPr>
        <w:t>J, Visser M, Loeffler C</w:t>
      </w:r>
      <w:r w:rsidRPr="008E1FC3">
        <w:rPr>
          <w:i/>
          <w:sz w:val="24"/>
          <w:szCs w:val="24"/>
          <w:lang w:val="en-US"/>
        </w:rPr>
        <w:t xml:space="preserve"> et al.</w:t>
      </w:r>
      <w:r w:rsidRPr="008E1FC3">
        <w:rPr>
          <w:sz w:val="24"/>
          <w:szCs w:val="24"/>
          <w:lang w:val="en-US"/>
        </w:rPr>
        <w:t xml:space="preserve"> Genome analysis of </w:t>
      </w:r>
      <w:r w:rsidRPr="008E1FC3">
        <w:rPr>
          <w:i/>
          <w:sz w:val="24"/>
          <w:szCs w:val="24"/>
          <w:lang w:val="en-US"/>
        </w:rPr>
        <w:t>Desulfotomaculum gibsoniae</w:t>
      </w:r>
      <w:r w:rsidRPr="008E1FC3">
        <w:rPr>
          <w:sz w:val="24"/>
          <w:szCs w:val="24"/>
          <w:lang w:val="en-US"/>
        </w:rPr>
        <w:t xml:space="preserve"> strain Groll(T) a highly versatile Gram-positive sulfate-reducing bacterium. </w:t>
      </w:r>
      <w:r w:rsidRPr="008E1FC3">
        <w:rPr>
          <w:i/>
          <w:sz w:val="24"/>
          <w:szCs w:val="24"/>
        </w:rPr>
        <w:t xml:space="preserve">Stand Genomic Sci </w:t>
      </w:r>
      <w:r w:rsidRPr="008E1FC3">
        <w:rPr>
          <w:sz w:val="24"/>
          <w:szCs w:val="24"/>
        </w:rPr>
        <w:t>2014;</w:t>
      </w:r>
      <w:r w:rsidRPr="008E1FC3">
        <w:rPr>
          <w:b/>
          <w:sz w:val="24"/>
          <w:szCs w:val="24"/>
        </w:rPr>
        <w:t>9</w:t>
      </w:r>
      <w:r w:rsidRPr="008E1FC3">
        <w:rPr>
          <w:sz w:val="24"/>
          <w:szCs w:val="24"/>
        </w:rPr>
        <w:t>: 821-39.</w:t>
      </w:r>
    </w:p>
    <w:p w:rsidR="005B08EC" w:rsidRPr="005B08EC" w:rsidRDefault="005B08EC" w:rsidP="005B08EC">
      <w:pPr>
        <w:spacing w:before="100" w:beforeAutospacing="1" w:after="100" w:afterAutospacing="1" w:line="480" w:lineRule="auto"/>
        <w:rPr>
          <w:sz w:val="24"/>
          <w:szCs w:val="24"/>
          <w:lang w:val="en-US"/>
        </w:rPr>
      </w:pPr>
      <w:r w:rsidRPr="008E1FC3">
        <w:rPr>
          <w:sz w:val="24"/>
          <w:szCs w:val="24"/>
          <w:lang w:val="en-US"/>
        </w:rPr>
        <w:fldChar w:fldCharType="end"/>
      </w:r>
    </w:p>
    <w:p w:rsidR="009D1C2A" w:rsidRPr="005B08EC" w:rsidRDefault="009D1C2A" w:rsidP="0018532C">
      <w:pPr>
        <w:pageBreakBefore/>
        <w:spacing w:before="100" w:beforeAutospacing="1" w:after="100" w:afterAutospacing="1" w:line="480" w:lineRule="auto"/>
        <w:rPr>
          <w:sz w:val="24"/>
          <w:szCs w:val="24"/>
          <w:lang w:val="en-US"/>
        </w:rPr>
      </w:pPr>
    </w:p>
    <w:p w:rsidR="0018532C" w:rsidRPr="005B08EC" w:rsidRDefault="0072219D" w:rsidP="0018532C">
      <w:pPr>
        <w:spacing w:before="100" w:beforeAutospacing="1" w:after="100" w:afterAutospacing="1" w:line="480" w:lineRule="auto"/>
        <w:rPr>
          <w:sz w:val="24"/>
          <w:szCs w:val="24"/>
          <w:lang w:val="en-US"/>
        </w:rPr>
      </w:pPr>
      <w:r w:rsidRPr="005B08EC">
        <w:rPr>
          <w:noProof/>
          <w:sz w:val="24"/>
          <w:szCs w:val="24"/>
        </w:rPr>
        <w:drawing>
          <wp:inline distT="0" distB="0" distL="0" distR="0" wp14:anchorId="4F2B91BC" wp14:editId="5582A93F">
            <wp:extent cx="5759450" cy="17519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n_qa_plot.mod.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59450" cy="1751965"/>
                    </a:xfrm>
                    <a:prstGeom prst="rect">
                      <a:avLst/>
                    </a:prstGeom>
                  </pic:spPr>
                </pic:pic>
              </a:graphicData>
            </a:graphic>
          </wp:inline>
        </w:drawing>
      </w:r>
    </w:p>
    <w:p w:rsidR="0018532C" w:rsidRPr="005B08EC" w:rsidRDefault="0018532C" w:rsidP="0018532C">
      <w:pPr>
        <w:spacing w:before="100" w:beforeAutospacing="1" w:after="100" w:afterAutospacing="1" w:line="480" w:lineRule="auto"/>
        <w:rPr>
          <w:sz w:val="24"/>
          <w:szCs w:val="24"/>
          <w:lang w:val="en-US"/>
        </w:rPr>
      </w:pPr>
      <w:r w:rsidRPr="005B08EC">
        <w:rPr>
          <w:color w:val="00B0F0"/>
          <w:sz w:val="24"/>
          <w:szCs w:val="24"/>
          <w:lang w:val="en-US"/>
        </w:rPr>
        <w:t>Figure S</w:t>
      </w:r>
      <w:r w:rsidR="00F06883" w:rsidRPr="005B08EC">
        <w:rPr>
          <w:color w:val="00B0F0"/>
          <w:sz w:val="24"/>
          <w:szCs w:val="24"/>
          <w:lang w:val="en-US"/>
        </w:rPr>
        <w:t>1</w:t>
      </w:r>
      <w:r w:rsidRPr="005B08EC">
        <w:rPr>
          <w:color w:val="00B0F0"/>
          <w:sz w:val="24"/>
          <w:szCs w:val="24"/>
          <w:lang w:val="en-US"/>
        </w:rPr>
        <w:t xml:space="preserve"> </w:t>
      </w:r>
      <w:r w:rsidRPr="005B08EC">
        <w:rPr>
          <w:sz w:val="24"/>
          <w:szCs w:val="24"/>
          <w:lang w:val="en-US"/>
        </w:rPr>
        <w:t xml:space="preserve">Identification of the marker genes within recovered metagenome bins with CheckM. Each bar represents a marker gene. Bars in green represent markers identified exactly once, while bars in grey represent missing markers. Markers identified multiple times in the genome are represented by shades of blue or red depending on the AAI between pairs of multi-copy genes and the total number of copies present (2-5+). Pairs of multi-copy genes with an AAI </w:t>
      </w:r>
      <w:r w:rsidRPr="005B08EC">
        <w:rPr>
          <w:rFonts w:hint="eastAsia"/>
          <w:sz w:val="24"/>
          <w:szCs w:val="24"/>
          <w:lang w:val="en-US"/>
        </w:rPr>
        <w:t>≥</w:t>
      </w:r>
      <w:r w:rsidRPr="005B08EC">
        <w:rPr>
          <w:sz w:val="24"/>
          <w:szCs w:val="24"/>
          <w:lang w:val="en-US"/>
        </w:rPr>
        <w:t xml:space="preserve">90% are indicated with shades of blue, while genes with less amino acid similarity are shown in red. A gene present 3 or more times may have pairs with an AAI </w:t>
      </w:r>
      <w:r w:rsidRPr="005B08EC">
        <w:rPr>
          <w:rFonts w:hint="eastAsia"/>
          <w:sz w:val="24"/>
          <w:szCs w:val="24"/>
          <w:lang w:val="en-US"/>
        </w:rPr>
        <w:t>≥</w:t>
      </w:r>
      <w:r w:rsidRPr="005B08EC">
        <w:rPr>
          <w:sz w:val="24"/>
          <w:szCs w:val="24"/>
          <w:lang w:val="en-US"/>
        </w:rPr>
        <w:t xml:space="preserve">90% and pairs with an AAI &lt; 90%. </w:t>
      </w:r>
    </w:p>
    <w:p w:rsidR="0018532C" w:rsidRPr="005B08EC" w:rsidRDefault="009C012F" w:rsidP="0018532C">
      <w:pPr>
        <w:spacing w:before="100" w:beforeAutospacing="1" w:after="100" w:afterAutospacing="1" w:line="480" w:lineRule="auto"/>
        <w:jc w:val="both"/>
        <w:rPr>
          <w:sz w:val="24"/>
          <w:szCs w:val="24"/>
          <w:lang w:val="en-US"/>
        </w:rPr>
      </w:pPr>
      <w:r w:rsidRPr="005B08EC">
        <w:rPr>
          <w:noProof/>
          <w:sz w:val="24"/>
          <w:szCs w:val="24"/>
        </w:rPr>
        <w:drawing>
          <wp:inline distT="0" distB="0" distL="0" distR="0" wp14:anchorId="6C68545A" wp14:editId="7979035E">
            <wp:extent cx="5759450" cy="6148880"/>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9450" cy="6148880"/>
                    </a:xfrm>
                    <a:prstGeom prst="rect">
                      <a:avLst/>
                    </a:prstGeom>
                    <a:noFill/>
                    <a:ln>
                      <a:noFill/>
                    </a:ln>
                  </pic:spPr>
                </pic:pic>
              </a:graphicData>
            </a:graphic>
          </wp:inline>
        </w:drawing>
      </w:r>
    </w:p>
    <w:p w:rsidR="009C012F" w:rsidRPr="005B08EC" w:rsidRDefault="009C012F" w:rsidP="009C012F">
      <w:pPr>
        <w:spacing w:before="100" w:beforeAutospacing="1" w:after="100" w:afterAutospacing="1" w:line="480" w:lineRule="auto"/>
        <w:rPr>
          <w:sz w:val="24"/>
          <w:szCs w:val="24"/>
          <w:lang w:val="en-US"/>
        </w:rPr>
      </w:pPr>
      <w:r w:rsidRPr="005B08EC">
        <w:rPr>
          <w:color w:val="00B0F0"/>
          <w:sz w:val="24"/>
          <w:szCs w:val="24"/>
          <w:lang w:val="en-US"/>
        </w:rPr>
        <w:t>Figure S</w:t>
      </w:r>
      <w:r w:rsidR="00F06883" w:rsidRPr="005B08EC">
        <w:rPr>
          <w:color w:val="00B0F0"/>
          <w:sz w:val="24"/>
          <w:szCs w:val="24"/>
          <w:lang w:val="en-US"/>
        </w:rPr>
        <w:t>2</w:t>
      </w:r>
      <w:r w:rsidRPr="005B08EC">
        <w:rPr>
          <w:color w:val="00B0F0"/>
          <w:sz w:val="24"/>
          <w:szCs w:val="24"/>
          <w:lang w:val="en-US"/>
        </w:rPr>
        <w:t xml:space="preserve"> </w:t>
      </w:r>
      <w:r w:rsidR="00331FC0" w:rsidRPr="005B08EC">
        <w:rPr>
          <w:sz w:val="24"/>
          <w:szCs w:val="24"/>
          <w:lang w:val="en-US"/>
        </w:rPr>
        <w:t xml:space="preserve">Identity dot plot between </w:t>
      </w:r>
      <w:r w:rsidR="00331FC0" w:rsidRPr="005B08EC">
        <w:rPr>
          <w:i/>
          <w:sz w:val="24"/>
          <w:szCs w:val="24"/>
          <w:lang w:val="en-US"/>
        </w:rPr>
        <w:t>Pelotomaculum</w:t>
      </w:r>
      <w:r w:rsidR="00331FC0" w:rsidRPr="005B08EC">
        <w:rPr>
          <w:sz w:val="24"/>
          <w:szCs w:val="24"/>
          <w:lang w:val="en-US"/>
        </w:rPr>
        <w:t xml:space="preserve"> candidate BPL (contigs on the y axis) and </w:t>
      </w:r>
      <w:r w:rsidR="00331FC0" w:rsidRPr="005B08EC">
        <w:rPr>
          <w:i/>
          <w:sz w:val="24"/>
          <w:szCs w:val="24"/>
          <w:lang w:val="en-US"/>
        </w:rPr>
        <w:t>Pelotomaculum thermopropionicum</w:t>
      </w:r>
      <w:r w:rsidR="00331FC0" w:rsidRPr="005B08EC">
        <w:rPr>
          <w:sz w:val="24"/>
          <w:szCs w:val="24"/>
          <w:lang w:val="en-US"/>
        </w:rPr>
        <w:t xml:space="preserve"> SI (full genome sequence on the x axis) generated using MUMmer (http://mummer.sourceforge.net/). Red dots indicate stretches of nucleotide identity and blue dots reverse complementary matches. Grey horizontal lines separate the individual contigs on the y axis.</w:t>
      </w:r>
    </w:p>
    <w:p w:rsidR="0018532C" w:rsidRPr="005B08EC" w:rsidRDefault="0018532C" w:rsidP="0018532C">
      <w:pPr>
        <w:spacing w:before="100" w:beforeAutospacing="1" w:after="100" w:afterAutospacing="1" w:line="480" w:lineRule="auto"/>
        <w:jc w:val="center"/>
        <w:rPr>
          <w:sz w:val="24"/>
          <w:szCs w:val="24"/>
          <w:lang w:val="en-US"/>
        </w:rPr>
      </w:pPr>
      <w:r w:rsidRPr="005B08EC">
        <w:rPr>
          <w:noProof/>
        </w:rPr>
        <w:drawing>
          <wp:inline distT="0" distB="0" distL="0" distR="0" wp14:anchorId="0929B606" wp14:editId="2038C405">
            <wp:extent cx="5357648" cy="3983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59558" cy="3985170"/>
                    </a:xfrm>
                    <a:prstGeom prst="rect">
                      <a:avLst/>
                    </a:prstGeom>
                    <a:noFill/>
                  </pic:spPr>
                </pic:pic>
              </a:graphicData>
            </a:graphic>
          </wp:inline>
        </w:drawing>
      </w:r>
    </w:p>
    <w:p w:rsidR="0018532C" w:rsidRPr="005B08EC" w:rsidRDefault="0018532C" w:rsidP="0018532C">
      <w:pPr>
        <w:spacing w:before="100" w:beforeAutospacing="1" w:after="100" w:afterAutospacing="1" w:line="240" w:lineRule="auto"/>
        <w:rPr>
          <w:sz w:val="24"/>
          <w:szCs w:val="24"/>
          <w:lang w:val="en-US"/>
        </w:rPr>
      </w:pPr>
      <w:r w:rsidRPr="005B08EC">
        <w:rPr>
          <w:color w:val="00B0F0"/>
          <w:sz w:val="24"/>
          <w:szCs w:val="24"/>
          <w:lang w:val="en-US"/>
        </w:rPr>
        <w:t>Figure S</w:t>
      </w:r>
      <w:r w:rsidR="00F06883" w:rsidRPr="005B08EC">
        <w:rPr>
          <w:color w:val="00B0F0"/>
          <w:sz w:val="24"/>
          <w:szCs w:val="24"/>
          <w:lang w:val="en-US"/>
        </w:rPr>
        <w:t>3</w:t>
      </w:r>
      <w:r w:rsidRPr="005B08EC">
        <w:rPr>
          <w:sz w:val="24"/>
          <w:szCs w:val="24"/>
          <w:lang w:val="en-US"/>
        </w:rPr>
        <w:t xml:space="preserve"> Gene count of COG functional categories for </w:t>
      </w:r>
      <w:r w:rsidRPr="005B08EC">
        <w:rPr>
          <w:i/>
          <w:sz w:val="24"/>
          <w:szCs w:val="24"/>
          <w:lang w:val="en-US"/>
        </w:rPr>
        <w:t xml:space="preserve">Pelotomaculum </w:t>
      </w:r>
      <w:r w:rsidRPr="005B08EC">
        <w:rPr>
          <w:sz w:val="24"/>
          <w:szCs w:val="24"/>
          <w:lang w:val="en-US"/>
        </w:rPr>
        <w:t xml:space="preserve">candidate BPL and </w:t>
      </w:r>
      <w:r w:rsidRPr="005B08EC">
        <w:rPr>
          <w:i/>
          <w:sz w:val="24"/>
          <w:szCs w:val="24"/>
          <w:lang w:val="en-US"/>
        </w:rPr>
        <w:t>Pelotomaculum thermopropionicum</w:t>
      </w:r>
      <w:r w:rsidRPr="005B08EC">
        <w:rPr>
          <w:sz w:val="24"/>
          <w:szCs w:val="24"/>
          <w:lang w:val="en-US"/>
        </w:rPr>
        <w:t xml:space="preserve"> SI.</w:t>
      </w:r>
    </w:p>
    <w:p w:rsidR="0018532C" w:rsidRPr="005B08EC" w:rsidRDefault="0018532C" w:rsidP="0018532C">
      <w:pPr>
        <w:pageBreakBefore/>
        <w:spacing w:before="100" w:beforeAutospacing="1" w:after="100" w:afterAutospacing="1" w:line="480" w:lineRule="auto"/>
        <w:jc w:val="both"/>
        <w:rPr>
          <w:sz w:val="24"/>
          <w:szCs w:val="24"/>
          <w:lang w:val="en-US"/>
        </w:rPr>
        <w:sectPr w:rsidR="0018532C" w:rsidRPr="005B08EC" w:rsidSect="0018532C">
          <w:pgSz w:w="11906" w:h="16838"/>
          <w:pgMar w:top="1418" w:right="1418" w:bottom="1134" w:left="1418" w:header="709" w:footer="709" w:gutter="0"/>
          <w:lnNumType w:countBy="1" w:restart="continuous"/>
          <w:cols w:space="708"/>
          <w:docGrid w:linePitch="360"/>
        </w:sectPr>
      </w:pPr>
    </w:p>
    <w:p w:rsidR="0018532C" w:rsidRPr="005B08EC" w:rsidRDefault="005A4E90" w:rsidP="0018532C">
      <w:pPr>
        <w:rPr>
          <w:lang w:val="en-US"/>
        </w:rPr>
      </w:pPr>
      <w:r w:rsidRPr="005B08EC">
        <w:rPr>
          <w:noProof/>
        </w:rPr>
        <w:drawing>
          <wp:inline distT="0" distB="0" distL="0" distR="0">
            <wp:extent cx="5760720" cy="8172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60720" cy="817245"/>
                    </a:xfrm>
                    <a:prstGeom prst="rect">
                      <a:avLst/>
                    </a:prstGeom>
                  </pic:spPr>
                </pic:pic>
              </a:graphicData>
            </a:graphic>
          </wp:inline>
        </w:drawing>
      </w:r>
    </w:p>
    <w:p w:rsidR="000343E9" w:rsidRPr="005B08EC" w:rsidRDefault="000343E9" w:rsidP="000343E9">
      <w:pPr>
        <w:spacing w:before="100" w:beforeAutospacing="1" w:after="100" w:afterAutospacing="1" w:line="480" w:lineRule="auto"/>
        <w:rPr>
          <w:sz w:val="24"/>
          <w:szCs w:val="24"/>
          <w:lang w:val="en-US"/>
        </w:rPr>
      </w:pPr>
      <w:r w:rsidRPr="005B08EC">
        <w:rPr>
          <w:color w:val="00B0F0"/>
          <w:sz w:val="24"/>
          <w:szCs w:val="24"/>
          <w:lang w:val="en-US"/>
        </w:rPr>
        <w:t>Figure S</w:t>
      </w:r>
      <w:r w:rsidR="00F06883" w:rsidRPr="005B08EC">
        <w:rPr>
          <w:color w:val="00B0F0"/>
          <w:sz w:val="24"/>
          <w:szCs w:val="24"/>
          <w:lang w:val="en-US"/>
        </w:rPr>
        <w:t>4</w:t>
      </w:r>
      <w:r w:rsidRPr="005B08EC">
        <w:rPr>
          <w:sz w:val="24"/>
          <w:szCs w:val="24"/>
          <w:lang w:val="en-US"/>
        </w:rPr>
        <w:t xml:space="preserve"> Genomic context of the </w:t>
      </w:r>
      <w:r w:rsidRPr="005B08EC">
        <w:rPr>
          <w:i/>
          <w:sz w:val="24"/>
          <w:szCs w:val="24"/>
          <w:lang w:val="en-US"/>
        </w:rPr>
        <w:t>metF</w:t>
      </w:r>
      <w:r w:rsidRPr="005B08EC">
        <w:rPr>
          <w:sz w:val="24"/>
          <w:szCs w:val="24"/>
          <w:lang w:val="en-US"/>
        </w:rPr>
        <w:t xml:space="preserve"> gene in the genome of </w:t>
      </w:r>
      <w:r w:rsidR="00B82E9E" w:rsidRPr="005B08EC">
        <w:rPr>
          <w:i/>
          <w:sz w:val="24"/>
          <w:szCs w:val="24"/>
          <w:lang w:val="en-US"/>
        </w:rPr>
        <w:t xml:space="preserve">Pelotomaculum </w:t>
      </w:r>
      <w:r w:rsidR="00B82E9E" w:rsidRPr="005B08EC">
        <w:rPr>
          <w:sz w:val="24"/>
          <w:szCs w:val="24"/>
          <w:lang w:val="en-US"/>
        </w:rPr>
        <w:t xml:space="preserve">candidate BPL. </w:t>
      </w:r>
      <w:r w:rsidRPr="005B08EC">
        <w:rPr>
          <w:sz w:val="24"/>
          <w:szCs w:val="24"/>
          <w:lang w:val="en-US"/>
        </w:rPr>
        <w:t xml:space="preserve">Unknown, hypothetical protein; </w:t>
      </w:r>
      <w:r w:rsidRPr="005B08EC">
        <w:rPr>
          <w:i/>
          <w:sz w:val="24"/>
          <w:szCs w:val="24"/>
          <w:lang w:val="en-US"/>
        </w:rPr>
        <w:t>acsE</w:t>
      </w:r>
      <w:r w:rsidRPr="005B08EC">
        <w:rPr>
          <w:sz w:val="24"/>
          <w:szCs w:val="24"/>
          <w:lang w:val="en-US"/>
        </w:rPr>
        <w:t>, methyltetrahydrofolate</w:t>
      </w:r>
      <w:r w:rsidR="006437C8" w:rsidRPr="005B08EC">
        <w:rPr>
          <w:sz w:val="24"/>
          <w:szCs w:val="24"/>
          <w:lang w:val="en-US"/>
        </w:rPr>
        <w:t>-</w:t>
      </w:r>
      <w:r w:rsidRPr="005B08EC">
        <w:rPr>
          <w:sz w:val="24"/>
          <w:szCs w:val="24"/>
          <w:lang w:val="en-US"/>
        </w:rPr>
        <w:t xml:space="preserve">corrinoid iron-sulfur protein Co-methyltransferase; </w:t>
      </w:r>
      <w:r w:rsidRPr="005B08EC">
        <w:rPr>
          <w:i/>
          <w:sz w:val="24"/>
          <w:szCs w:val="24"/>
          <w:lang w:val="en-US"/>
        </w:rPr>
        <w:t>hdrACB</w:t>
      </w:r>
      <w:r w:rsidRPr="005B08EC">
        <w:rPr>
          <w:sz w:val="24"/>
          <w:szCs w:val="24"/>
          <w:lang w:val="en-US"/>
        </w:rPr>
        <w:t xml:space="preserve">, heterodisulfide reductase; </w:t>
      </w:r>
      <w:r w:rsidRPr="005B08EC">
        <w:rPr>
          <w:i/>
          <w:sz w:val="24"/>
          <w:szCs w:val="24"/>
          <w:lang w:val="en-US"/>
        </w:rPr>
        <w:t>mvhD</w:t>
      </w:r>
      <w:r w:rsidRPr="005B08EC">
        <w:rPr>
          <w:sz w:val="24"/>
          <w:szCs w:val="24"/>
          <w:lang w:val="en-US"/>
        </w:rPr>
        <w:t xml:space="preserve">, methyl-viologen-reducing hydrogenase, delta subunit; 1, 4Fe-4S dicluster domain-containing protein; 2, 4Fe-4S dicluster domain-containing protein; 3, NAD(P)H-flavin reductase; 4, Fe-S oxidoreductase; </w:t>
      </w:r>
      <w:r w:rsidRPr="005B08EC">
        <w:rPr>
          <w:i/>
          <w:sz w:val="24"/>
          <w:szCs w:val="24"/>
          <w:lang w:val="en-US"/>
        </w:rPr>
        <w:t>metV</w:t>
      </w:r>
      <w:r w:rsidRPr="005B08EC">
        <w:rPr>
          <w:sz w:val="24"/>
          <w:szCs w:val="24"/>
          <w:lang w:val="en-US"/>
        </w:rPr>
        <w:t xml:space="preserve">, Methylene-tetrahydrofolate reductase C terminal; metF, 5,10-methylenetetrahydrofolate reductase (ferredoxin). </w:t>
      </w:r>
    </w:p>
    <w:p w:rsidR="005A4E90" w:rsidRPr="005B08EC" w:rsidRDefault="005A4E90" w:rsidP="0018532C">
      <w:pPr>
        <w:spacing w:before="100" w:beforeAutospacing="1" w:after="100" w:afterAutospacing="1" w:line="480" w:lineRule="auto"/>
        <w:rPr>
          <w:sz w:val="24"/>
          <w:szCs w:val="24"/>
          <w:lang w:val="en-US"/>
        </w:rPr>
      </w:pPr>
    </w:p>
    <w:p w:rsidR="0018532C" w:rsidRPr="005B08EC" w:rsidRDefault="0018532C" w:rsidP="005A4E90">
      <w:pPr>
        <w:pageBreakBefore/>
        <w:spacing w:before="100" w:beforeAutospacing="1" w:after="100" w:afterAutospacing="1" w:line="480" w:lineRule="auto"/>
        <w:rPr>
          <w:sz w:val="24"/>
          <w:szCs w:val="24"/>
          <w:lang w:val="en-US"/>
        </w:rPr>
      </w:pPr>
      <w:r w:rsidRPr="005B08EC">
        <w:rPr>
          <w:noProof/>
        </w:rPr>
        <w:drawing>
          <wp:inline distT="0" distB="0" distL="0" distR="0" wp14:anchorId="3CC4C45D" wp14:editId="63AE07BD">
            <wp:extent cx="5145908" cy="7327075"/>
            <wp:effectExtent l="0" t="0" r="0" b="7620"/>
            <wp:docPr id="2" name="Picture 2" descr="https://img.jgi.doe.gov/mer/tmp/map00010.t26172708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jgi.doe.gov/mer/tmp/map00010.t261727089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47638" cy="7329539"/>
                    </a:xfrm>
                    <a:prstGeom prst="rect">
                      <a:avLst/>
                    </a:prstGeom>
                    <a:noFill/>
                    <a:ln>
                      <a:noFill/>
                    </a:ln>
                  </pic:spPr>
                </pic:pic>
              </a:graphicData>
            </a:graphic>
          </wp:inline>
        </w:drawing>
      </w:r>
    </w:p>
    <w:p w:rsidR="0018532C" w:rsidRPr="005B08EC" w:rsidRDefault="0018532C" w:rsidP="0018532C">
      <w:pPr>
        <w:spacing w:before="100" w:beforeAutospacing="1" w:after="100" w:afterAutospacing="1" w:line="480" w:lineRule="auto"/>
        <w:rPr>
          <w:sz w:val="24"/>
          <w:szCs w:val="24"/>
          <w:lang w:val="en-US"/>
        </w:rPr>
      </w:pPr>
      <w:r w:rsidRPr="005B08EC">
        <w:rPr>
          <w:color w:val="00B0F0"/>
          <w:sz w:val="24"/>
          <w:szCs w:val="24"/>
          <w:lang w:val="en-US"/>
        </w:rPr>
        <w:t>Figure S</w:t>
      </w:r>
      <w:r w:rsidR="00F06883" w:rsidRPr="005B08EC">
        <w:rPr>
          <w:color w:val="00B0F0"/>
          <w:sz w:val="24"/>
          <w:szCs w:val="24"/>
          <w:lang w:val="en-US"/>
        </w:rPr>
        <w:t>5</w:t>
      </w:r>
      <w:r w:rsidRPr="005B08EC">
        <w:rPr>
          <w:sz w:val="24"/>
          <w:szCs w:val="24"/>
          <w:lang w:val="en-US"/>
        </w:rPr>
        <w:t xml:space="preserve"> Glycolysis/gluconeogenesis pathway detected in </w:t>
      </w:r>
      <w:r w:rsidRPr="005B08EC">
        <w:rPr>
          <w:i/>
          <w:sz w:val="24"/>
          <w:szCs w:val="24"/>
          <w:lang w:val="en-US"/>
        </w:rPr>
        <w:t xml:space="preserve">Pelotomaculum </w:t>
      </w:r>
      <w:r w:rsidRPr="005B08EC">
        <w:rPr>
          <w:sz w:val="24"/>
          <w:szCs w:val="24"/>
          <w:lang w:val="en-US"/>
        </w:rPr>
        <w:t xml:space="preserve">candidate BPL genome. Blue boxes indicate enzyme commission number of those detected in </w:t>
      </w:r>
      <w:r w:rsidRPr="005B08EC">
        <w:rPr>
          <w:i/>
          <w:sz w:val="24"/>
          <w:szCs w:val="24"/>
          <w:lang w:val="en-US"/>
        </w:rPr>
        <w:t xml:space="preserve">Pelotomaculum </w:t>
      </w:r>
      <w:r w:rsidRPr="005B08EC">
        <w:rPr>
          <w:sz w:val="24"/>
          <w:szCs w:val="24"/>
          <w:lang w:val="en-US"/>
        </w:rPr>
        <w:t>candidate BPL.</w:t>
      </w:r>
    </w:p>
    <w:p w:rsidR="0018532C" w:rsidRPr="005B08EC" w:rsidRDefault="0018532C" w:rsidP="0018532C">
      <w:pPr>
        <w:spacing w:before="100" w:beforeAutospacing="1" w:after="100" w:afterAutospacing="1" w:line="480" w:lineRule="auto"/>
        <w:rPr>
          <w:sz w:val="24"/>
          <w:szCs w:val="24"/>
          <w:lang w:val="en-US"/>
        </w:rPr>
      </w:pPr>
      <w:r w:rsidRPr="005B08EC">
        <w:rPr>
          <w:noProof/>
        </w:rPr>
        <w:drawing>
          <wp:inline distT="0" distB="0" distL="0" distR="0" wp14:anchorId="266BC357" wp14:editId="0F31A6BE">
            <wp:extent cx="5760720" cy="4135569"/>
            <wp:effectExtent l="0" t="0" r="0" b="0"/>
            <wp:docPr id="3" name="Picture 3" descr="https://img.jgi.doe.gov/mer/tmp/map00030.t26172708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mg.jgi.doe.gov/mer/tmp/map00030.t261727089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4135569"/>
                    </a:xfrm>
                    <a:prstGeom prst="rect">
                      <a:avLst/>
                    </a:prstGeom>
                    <a:noFill/>
                    <a:ln>
                      <a:noFill/>
                    </a:ln>
                  </pic:spPr>
                </pic:pic>
              </a:graphicData>
            </a:graphic>
          </wp:inline>
        </w:drawing>
      </w:r>
    </w:p>
    <w:p w:rsidR="0018532C" w:rsidRPr="005B08EC" w:rsidRDefault="0018532C" w:rsidP="0018532C">
      <w:pPr>
        <w:spacing w:before="100" w:beforeAutospacing="1" w:after="100" w:afterAutospacing="1" w:line="480" w:lineRule="auto"/>
        <w:rPr>
          <w:sz w:val="24"/>
          <w:szCs w:val="24"/>
          <w:lang w:val="en-US"/>
        </w:rPr>
      </w:pPr>
      <w:r w:rsidRPr="005B08EC">
        <w:rPr>
          <w:color w:val="00B0F0"/>
          <w:sz w:val="24"/>
          <w:szCs w:val="24"/>
          <w:lang w:val="en-US"/>
        </w:rPr>
        <w:t>Figure S</w:t>
      </w:r>
      <w:r w:rsidR="00F06883" w:rsidRPr="005B08EC">
        <w:rPr>
          <w:color w:val="00B0F0"/>
          <w:sz w:val="24"/>
          <w:szCs w:val="24"/>
          <w:lang w:val="en-US"/>
        </w:rPr>
        <w:t>6</w:t>
      </w:r>
      <w:r w:rsidRPr="005B08EC">
        <w:rPr>
          <w:color w:val="00B0F0"/>
          <w:sz w:val="24"/>
          <w:szCs w:val="24"/>
          <w:lang w:val="en-US"/>
        </w:rPr>
        <w:t xml:space="preserve"> </w:t>
      </w:r>
      <w:r w:rsidRPr="005B08EC">
        <w:rPr>
          <w:sz w:val="24"/>
          <w:szCs w:val="24"/>
          <w:lang w:val="en-US"/>
        </w:rPr>
        <w:t xml:space="preserve">Reductive pentose phosphate pathway detected in </w:t>
      </w:r>
      <w:r w:rsidRPr="005B08EC">
        <w:rPr>
          <w:i/>
          <w:sz w:val="24"/>
          <w:szCs w:val="24"/>
          <w:lang w:val="en-US"/>
        </w:rPr>
        <w:t xml:space="preserve">Pelotomaculum </w:t>
      </w:r>
      <w:r w:rsidRPr="005B08EC">
        <w:rPr>
          <w:sz w:val="24"/>
          <w:szCs w:val="24"/>
          <w:lang w:val="en-US"/>
        </w:rPr>
        <w:t xml:space="preserve">candidate BPL genome. Blue boxes indicate enzyme commission number of those detected in </w:t>
      </w:r>
      <w:r w:rsidRPr="005B08EC">
        <w:rPr>
          <w:i/>
          <w:sz w:val="24"/>
          <w:szCs w:val="24"/>
          <w:lang w:val="en-US"/>
        </w:rPr>
        <w:t xml:space="preserve">Pelotomaculum </w:t>
      </w:r>
      <w:r w:rsidRPr="005B08EC">
        <w:rPr>
          <w:sz w:val="24"/>
          <w:szCs w:val="24"/>
          <w:lang w:val="en-US"/>
        </w:rPr>
        <w:t>candidate BPL.</w:t>
      </w:r>
    </w:p>
    <w:p w:rsidR="0018532C" w:rsidRPr="005B08EC" w:rsidRDefault="0018532C" w:rsidP="0018532C">
      <w:pPr>
        <w:spacing w:before="100" w:beforeAutospacing="1" w:after="100" w:afterAutospacing="1" w:line="480" w:lineRule="auto"/>
        <w:rPr>
          <w:sz w:val="24"/>
          <w:szCs w:val="24"/>
          <w:lang w:val="en-US"/>
        </w:rPr>
      </w:pPr>
    </w:p>
    <w:p w:rsidR="0018532C" w:rsidRPr="005B08EC" w:rsidRDefault="0018532C" w:rsidP="0018532C">
      <w:pPr>
        <w:rPr>
          <w:lang w:val="en-US"/>
        </w:rPr>
      </w:pPr>
    </w:p>
    <w:p w:rsidR="00F06883" w:rsidRPr="005B08EC" w:rsidRDefault="00F06883" w:rsidP="0018532C">
      <w:pPr>
        <w:rPr>
          <w:lang w:val="en-US"/>
        </w:rPr>
      </w:pPr>
    </w:p>
    <w:p w:rsidR="00F06883" w:rsidRPr="005B08EC" w:rsidRDefault="00F06883" w:rsidP="0018532C">
      <w:pPr>
        <w:rPr>
          <w:lang w:val="en-US"/>
        </w:rPr>
      </w:pPr>
    </w:p>
    <w:p w:rsidR="00F06883" w:rsidRPr="005B08EC" w:rsidRDefault="00F06883" w:rsidP="0018532C">
      <w:pPr>
        <w:rPr>
          <w:lang w:val="en-US"/>
        </w:rPr>
      </w:pPr>
    </w:p>
    <w:p w:rsidR="00F06883" w:rsidRPr="005B08EC" w:rsidRDefault="00F06883" w:rsidP="00F06883">
      <w:pPr>
        <w:pageBreakBefore/>
        <w:spacing w:before="100" w:beforeAutospacing="1" w:after="100" w:afterAutospacing="1" w:line="480" w:lineRule="auto"/>
        <w:rPr>
          <w:color w:val="00B0F0"/>
          <w:sz w:val="24"/>
          <w:szCs w:val="24"/>
          <w:lang w:val="en-US"/>
        </w:rPr>
        <w:sectPr w:rsidR="00F06883" w:rsidRPr="005B08EC" w:rsidSect="003F6314">
          <w:footerReference w:type="default" r:id="rId15"/>
          <w:pgSz w:w="11906" w:h="16838"/>
          <w:pgMar w:top="1417" w:right="1417" w:bottom="1134" w:left="1417" w:header="708" w:footer="708" w:gutter="0"/>
          <w:lnNumType w:countBy="1" w:restart="continuous"/>
          <w:cols w:space="708"/>
          <w:docGrid w:linePitch="360"/>
        </w:sectPr>
      </w:pPr>
    </w:p>
    <w:p w:rsidR="00F06883" w:rsidRPr="005B08EC" w:rsidRDefault="00F06883" w:rsidP="00F06883">
      <w:pPr>
        <w:pageBreakBefore/>
        <w:spacing w:before="100" w:beforeAutospacing="1" w:after="100" w:afterAutospacing="1" w:line="480" w:lineRule="auto"/>
        <w:rPr>
          <w:sz w:val="24"/>
          <w:szCs w:val="24"/>
          <w:lang w:val="en-US"/>
        </w:rPr>
      </w:pPr>
      <w:r w:rsidRPr="005B08EC">
        <w:rPr>
          <w:color w:val="00B0F0"/>
          <w:sz w:val="24"/>
          <w:szCs w:val="24"/>
          <w:lang w:val="en-US"/>
        </w:rPr>
        <w:t xml:space="preserve">Table S1 </w:t>
      </w:r>
      <w:r w:rsidRPr="005B08EC">
        <w:rPr>
          <w:sz w:val="24"/>
          <w:szCs w:val="24"/>
          <w:lang w:val="en-US"/>
        </w:rPr>
        <w:t xml:space="preserve">Expressed genes belonging to </w:t>
      </w:r>
      <w:r w:rsidRPr="005B08EC">
        <w:rPr>
          <w:i/>
          <w:sz w:val="24"/>
          <w:szCs w:val="24"/>
          <w:lang w:val="en-US"/>
        </w:rPr>
        <w:t xml:space="preserve">Pelotomaculum </w:t>
      </w:r>
      <w:r w:rsidRPr="005B08EC">
        <w:rPr>
          <w:sz w:val="24"/>
          <w:szCs w:val="24"/>
          <w:lang w:val="en-US"/>
        </w:rPr>
        <w:t>candidate BPL during anaerobic degradation of benzene.</w:t>
      </w:r>
    </w:p>
    <w:tbl>
      <w:tblPr>
        <w:tblStyle w:val="TableGrid"/>
        <w:tblW w:w="0" w:type="auto"/>
        <w:tblLook w:val="04A0" w:firstRow="1" w:lastRow="0" w:firstColumn="1" w:lastColumn="0" w:noHBand="0" w:noVBand="1"/>
      </w:tblPr>
      <w:tblGrid>
        <w:gridCol w:w="2528"/>
        <w:gridCol w:w="6534"/>
      </w:tblGrid>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Gene ID in Pelotomaculum spp. Genome</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IMG product name</w:t>
            </w:r>
          </w:p>
        </w:tc>
      </w:tr>
      <w:tr w:rsidR="007A00F1" w:rsidRPr="005B08EC" w:rsidTr="008E1FC3">
        <w:trPr>
          <w:trHeight w:val="315"/>
        </w:trPr>
        <w:tc>
          <w:tcPr>
            <w:tcW w:w="0" w:type="auto"/>
            <w:gridSpan w:val="2"/>
            <w:noWrap/>
            <w:vAlign w:val="center"/>
            <w:hideMark/>
          </w:tcPr>
          <w:p w:rsidR="007A00F1" w:rsidRPr="005B08EC" w:rsidRDefault="007A00F1">
            <w:pPr>
              <w:jc w:val="center"/>
              <w:rPr>
                <w:rFonts w:eastAsia="Times New Roman"/>
                <w:b/>
                <w:bCs/>
              </w:rPr>
            </w:pPr>
            <w:r w:rsidRPr="005B08EC">
              <w:rPr>
                <w:rFonts w:eastAsia="Times New Roman"/>
                <w:b/>
                <w:bCs/>
              </w:rPr>
              <w:t>sulfate reduction</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2617919556</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putative adenylylsulfate reductase-associated electron transfer protein QmoB</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2617919557</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putative adenylylsulfate reductase-associated electron transfer protein QmoA</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2617919558</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adenylylsulfate reductase subunit A</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2617919559</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dissimilatory adenylylsulfate reductase beta subunit (EC 1.8.99.2)</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2617919560</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ATP sulfurylase (sulfate adenylyltransferase)</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2617919937</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K(+)-stimulated pyrophosphate-energized sodium pump</w:t>
            </w:r>
          </w:p>
        </w:tc>
      </w:tr>
      <w:tr w:rsidR="007A00F1" w:rsidRPr="00A0198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2617920254</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Dissimilatory sulfite reductase (desulfoviridin), gamma subunit</w:t>
            </w:r>
          </w:p>
        </w:tc>
      </w:tr>
      <w:tr w:rsidR="007A00F1" w:rsidRPr="005B08E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2617920256</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Nitrate reductase gamma subunit</w:t>
            </w:r>
          </w:p>
        </w:tc>
      </w:tr>
      <w:tr w:rsidR="007A00F1" w:rsidRPr="00A0198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2617920264</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dissimilatory sulfite reductase beta subunit</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2617920265</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dissimilatory sulfite reductase alpha subunit (EC 1.8.99.1)</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2617921751</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NADH:ubiquinone oxidoreductase subunit 2 (chain N)</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2617921752</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NADH:ubiquinone oxidoreductase subunit 4 (chain M)</w:t>
            </w:r>
          </w:p>
        </w:tc>
      </w:tr>
      <w:tr w:rsidR="007A00F1" w:rsidRPr="00A0198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2617921753</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NADH-quinone oxidoreductase subunit L</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2617921755</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NADH:ubiquinone oxidoreductase subunit 6 (chain J)</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2617921756</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NADH-quinone oxidoreductase subunit I</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2617921757</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NADH:ubiquinone oxidoreductase subunit 1 (chain H)</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2617921758</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NADH-quinone oxidoreductase subunit D</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2617921761</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NADH-quinone oxidoreductase subunit A</w:t>
            </w:r>
          </w:p>
        </w:tc>
      </w:tr>
      <w:tr w:rsidR="007A00F1" w:rsidRPr="005B08EC" w:rsidTr="008E1FC3">
        <w:trPr>
          <w:trHeight w:val="315"/>
        </w:trPr>
        <w:tc>
          <w:tcPr>
            <w:tcW w:w="0" w:type="auto"/>
            <w:gridSpan w:val="2"/>
            <w:noWrap/>
            <w:vAlign w:val="center"/>
            <w:hideMark/>
          </w:tcPr>
          <w:p w:rsidR="007A00F1" w:rsidRPr="002E0812" w:rsidRDefault="007A00F1">
            <w:pPr>
              <w:jc w:val="center"/>
              <w:rPr>
                <w:rFonts w:eastAsia="Times New Roman"/>
                <w:b/>
                <w:bCs/>
                <w:sz w:val="24"/>
                <w:szCs w:val="24"/>
              </w:rPr>
            </w:pPr>
            <w:r w:rsidRPr="005B08EC">
              <w:rPr>
                <w:rFonts w:eastAsia="Times New Roman"/>
                <w:b/>
                <w:bCs/>
                <w:sz w:val="24"/>
                <w:szCs w:val="24"/>
                <w:lang w:val="en-US"/>
              </w:rPr>
              <w:t>Wood-Ljungdahl pathway</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2617920380</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5,10-methylene-tetrahydrofolate dehydrogenase/Methenyl tetrahydrofolate cyclohydrolase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2617920888</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Ni-dependent carbon monoxide dehydrogenase precursor</w:t>
            </w:r>
          </w:p>
        </w:tc>
      </w:tr>
      <w:tr w:rsidR="007A00F1" w:rsidRPr="00A0198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2617921113</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methyltetrahydrofolate--corrinoid iron-sulfur protein Co-methyltransferase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2617921126</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5,10-methylenetetrahydrofolate reductase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2617921323</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Formyltetrahydrofolate synthetase</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2617921376</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CO dehydrogenase/acetyl-CoA synthase delta subunit (corrinoid Fe-S protein)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2617921377</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CO dehydrogenase maturation factor</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2617921378</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CO dehydrogenase/acetyl-CoA synthase gamma subunit (corrinoid Fe-S protein)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2617922225</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formate dehydrogenase, alpha subunit</w:t>
            </w:r>
          </w:p>
        </w:tc>
      </w:tr>
      <w:tr w:rsidR="007A00F1" w:rsidRPr="005B08EC" w:rsidTr="008E1FC3">
        <w:trPr>
          <w:trHeight w:val="315"/>
        </w:trPr>
        <w:tc>
          <w:tcPr>
            <w:tcW w:w="0" w:type="auto"/>
            <w:gridSpan w:val="2"/>
            <w:noWrap/>
            <w:vAlign w:val="center"/>
            <w:hideMark/>
          </w:tcPr>
          <w:p w:rsidR="007A00F1" w:rsidRPr="005B08EC" w:rsidRDefault="007A00F1">
            <w:pPr>
              <w:jc w:val="center"/>
              <w:rPr>
                <w:rFonts w:eastAsia="Times New Roman"/>
                <w:b/>
                <w:bCs/>
                <w:sz w:val="24"/>
                <w:szCs w:val="24"/>
              </w:rPr>
            </w:pPr>
            <w:r w:rsidRPr="005B08EC">
              <w:rPr>
                <w:rFonts w:eastAsia="Times New Roman"/>
                <w:b/>
                <w:bCs/>
                <w:sz w:val="24"/>
                <w:szCs w:val="24"/>
                <w:lang w:val="en-US"/>
              </w:rPr>
              <w:t>benzoyl-CoA degradation pathway</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2617919856</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6-ketocyclohex-1-ene-1-carbonyl-CoA hydrolase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2617919857</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cyclohexa-1,5-dienecarbonyl-CoA hydratase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2617919858</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6-hydroxycyclohex-1-ene-1-carbonyl-CoA dehydrogenase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2617919859</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Acyl-CoA dehydrogenases</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2617921884</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tungsten-dependent benzoyl-CoA reductase subunit bamB</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2617921892</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acetyl-CoA synthetase</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2617921893</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Enoyl-CoA hydratase/carnithine racemase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2617921894</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3-hydroxyacyl-CoA dehydrogenase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2617921895</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Acyl dehydratase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2617921991</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tungsten-dependent benzoyl-CoA reductase-related protein bamD</w:t>
            </w:r>
          </w:p>
        </w:tc>
      </w:tr>
      <w:tr w:rsidR="007A00F1" w:rsidRPr="005B08EC" w:rsidTr="008E1FC3">
        <w:trPr>
          <w:trHeight w:val="315"/>
        </w:trPr>
        <w:tc>
          <w:tcPr>
            <w:tcW w:w="0" w:type="auto"/>
            <w:gridSpan w:val="2"/>
            <w:noWrap/>
            <w:vAlign w:val="center"/>
            <w:hideMark/>
          </w:tcPr>
          <w:p w:rsidR="007A00F1" w:rsidRPr="005B08EC" w:rsidRDefault="007A00F1">
            <w:pPr>
              <w:jc w:val="center"/>
              <w:rPr>
                <w:rFonts w:eastAsia="Times New Roman"/>
                <w:b/>
                <w:bCs/>
              </w:rPr>
            </w:pPr>
            <w:r w:rsidRPr="005B08EC">
              <w:rPr>
                <w:rFonts w:eastAsia="Times New Roman"/>
                <w:b/>
                <w:bCs/>
              </w:rPr>
              <w:t>unclassfied enzymes</w:t>
            </w:r>
          </w:p>
        </w:tc>
      </w:tr>
      <w:tr w:rsidR="007A00F1" w:rsidRPr="00A0198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2617919427</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Hemerythrin HHE cation binding domain-containing protein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617921157</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Putative zinc-finger</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2617919439</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TusA-related sulfurtransferase</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2617919500</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Oxygen-sensitive ribonucleoside-triphosphate reductase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2617919503</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S-adenosylhomocysteine hydrolase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2617919510</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Acyl carrier protein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2617919522</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hypothetical protein</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2617919530</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large subunit ribosomal protein L28</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2617919532</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6,7-dimethyl-8-ribityllumazine synthase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2617919573</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Aspartokinases</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2617919577</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Stage IV sporulation protein A (spore_IV_A)</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2617919589</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4-hydroxy-3-methylbut-2-enyl diphosphate reductase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2617919592</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3-phosphoshikimate 1-carboxyvinyltransferase</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2617919594</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-deoxy-D-arabinoheptulosonate-7-phosphate synthase</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2617919604</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Protein of unknown function (DUF1657)</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2617919613</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Pyruvate kinase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2617919632</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homocitrate synthase NifV</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2617919635</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aspartyl/glutamyl-tRNA(Asn/Gln) amidotransferase subunit C</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2617919637</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hypothetical protein</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2617919644</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Copper amine oxidase N-terminal domain</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2617919645</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Copper amine oxidase N-terminal domain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2617919656</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YeeE/YedE family (DUF395)</w:t>
            </w:r>
          </w:p>
        </w:tc>
      </w:tr>
      <w:tr w:rsidR="007A00F1" w:rsidRPr="005B08E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2617919662</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hypothetical protein</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2617919670</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RND family efflux transporter, MFP subunit</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2617919674</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Predicted Fe-Mo cluster-binding protein, NifX family</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2617919678</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Subtilisin-like serine proteases</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2617919680</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Cell fate regulator YlbF, YheA/YmcA/DUF963 family (controls sporulation, competence, biofilm development</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2617919682</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Cell wall-associated hydrolases (invasion-associated proteins)</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2617919702</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hypothetical protein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2617919703</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Molybdopterin biosynthesis enzyme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2617919704</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Molybdopterin biosynthesis enzyme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2617919705</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S-layer homology domain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2617919708</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molybdopterin adenylyltransferase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2617919709</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Co-chaperonin GroES (HSP10)</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2617919710</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Chaperonin GroEL (HSP60 family)</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2617919717</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Benzoyl-CoA reductase/2-hydroxyglutaryl-CoA dehydratase subunit, BcrC/BadD/HgdB</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2617919759</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hypothetical protein</w:t>
            </w:r>
          </w:p>
        </w:tc>
      </w:tr>
      <w:tr w:rsidR="007A00F1" w:rsidRPr="00A0198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2617919780</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dTDP-4-dehydrorhamnose 3,5-epimerase and related enzymes</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2617919818</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hypothetical protein</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2617919824</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ABC-type phosphate transport system, periplasmic component</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2617919828</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phosphate uptake regulator, PhoU</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2617919842</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Predicted DNA-binding protein with PD1-like DNA-binding motif - COG1661</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2617919843</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hypothetical protein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2617919851</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Sporulation and spore germination</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2617919853</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3-oxoacyl-[acyl-carrier protein] reductase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2617919854</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Acetyl-CoA acetyltransferase</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2617919855</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Predicted nucleic-acid-binding protein containing a Zn-ribbon - COG1545</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2617919865</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membrane fusion protein, cobalt-zinc-cadmium efflux system</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2617919870</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hypothetical protein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2617919871</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Transcriptional regulator</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2617919884</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Nucleoside-diphosphate-sugar epimerases</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2617919891</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S-adenosylmethionine synthetase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2617919895</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Cold shock proteins</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2617919896</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putative sigma-54 modulation protein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2617919902</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Transketolase, C-terminal subunit</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2617919903</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hypothetical protein</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2617919910</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Predicted RNA-binding protein - COG1532</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2617919923</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bifunctional phosphoglucose/phosphomannose isomerase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2617919931</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Glyceraldehyde-3-phosphate dehydrogenase/erythrose-4-phosphate dehydrogenase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2617919932</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3-phosphoglycerate kinase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2617919933</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Triosephosphate isomerase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2617919935</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Enolase</w:t>
            </w:r>
          </w:p>
        </w:tc>
      </w:tr>
      <w:tr w:rsidR="007A00F1" w:rsidRPr="005B08E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2617919952</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Small-conductance mechanosensitive channel</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2617919957</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Phosphoribosylformimino-5-aminoimidazole carboxamide ribonucleotide (ProFAR) isomerase</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2617919966</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AICAR transformylase/IMP cyclohydrolase PurH (only IMP cyclohydrolase domain in Aful)</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2617919972</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Phosphoribosylcarboxyaminoimidazole (NCAIR) mutase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2617919980</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S-layer homology domain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2617919989</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hypothetical protein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2617919992</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Rhodanese-related sulfurtransferase</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2617919993</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Chitobiase/beta-hexosaminidase C-terminal domain</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2617919996</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Ig-like domain-containing protein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2617919997</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hypothetical protein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2617919998</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Cohesin domain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2617919999</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hypothetical protein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2617920000</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hypothetical protein</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2617920001</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Chitobiase/beta-hexosaminidase C-terminal domain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2617920002</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S-layer homology domain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2617920003</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hypothetical protein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2617920007</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Ribosomal protein S9</w:t>
            </w:r>
          </w:p>
        </w:tc>
      </w:tr>
      <w:tr w:rsidR="007A00F1" w:rsidRPr="00A0198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2617920017</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Uncharacterized protein conserved in bacteria</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2617920021</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Acyl-CoA dehydrogenases</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2617920032</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Protein of unknown function (DUF2680)</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2617920037</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Serine-pyruvate aminotransferase/archaeal aspartate aminotransferase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2617920039</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Pyridoxine biosynthesis enzyme</w:t>
            </w:r>
          </w:p>
        </w:tc>
      </w:tr>
      <w:tr w:rsidR="007A00F1" w:rsidRPr="00A0198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2617920046</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DNA polymerase sliding clamp subunit (PCNA homolog)</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2617920084</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hypothetical protein</w:t>
            </w:r>
          </w:p>
        </w:tc>
      </w:tr>
      <w:tr w:rsidR="007A00F1" w:rsidRPr="005B08E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2617920087</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Aspartyl aminopeptidase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2617920092</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Uncharacterized conserved protein - COG3874</w:t>
            </w:r>
          </w:p>
        </w:tc>
      </w:tr>
      <w:tr w:rsidR="007A00F1" w:rsidRPr="005B08E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2617920122</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Uncharacterized conserved protein - COG0432</w:t>
            </w:r>
          </w:p>
        </w:tc>
      </w:tr>
      <w:tr w:rsidR="007A00F1" w:rsidRPr="00A0198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2617920126</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DNA-binding transcriptional regulator, Lrp family</w:t>
            </w:r>
          </w:p>
        </w:tc>
      </w:tr>
      <w:tr w:rsidR="007A00F1" w:rsidRPr="005B08E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2617920143</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LysM domain</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2617920195</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NADPH-dependent 2,4-dienoyl-CoA reductase, sulfur reductase</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2617920210</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F0F1-type ATP synthase, epsilon subunit (mitochondrial delta subunit)</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2617920211</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F0F1-type ATP synthase, beta subunit</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2617920212</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F0F1-type ATP synthase, gamma subunit</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2617920213</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F0F1-type ATP synthase, alpha subunit</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2617920214</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F0F1-type ATP synthase, delta subunit (mitochondrial oligomycin sensitivity protein)</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2617920215</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F0F1-type ATP synthase, subunit b</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2617920216</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F0F1-type ATP synthase, subunit a</w:t>
            </w:r>
          </w:p>
        </w:tc>
      </w:tr>
      <w:tr w:rsidR="007A00F1" w:rsidRPr="005B08E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2617920236</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Transaldolase</w:t>
            </w:r>
          </w:p>
        </w:tc>
      </w:tr>
      <w:tr w:rsidR="007A00F1" w:rsidRPr="005B08E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2617920237</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Fructose/tagatose bisphosphate aldolase</w:t>
            </w:r>
          </w:p>
        </w:tc>
      </w:tr>
      <w:tr w:rsidR="007A00F1" w:rsidRPr="00A0198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2617920239</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Response regulator containing CheY-like receiver, AAA-type ATPase, and DNA-binding domains</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2617920245</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prevent-host-death family protein</w:t>
            </w:r>
          </w:p>
        </w:tc>
      </w:tr>
      <w:tr w:rsidR="007A00F1" w:rsidRPr="005B08E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2617920247</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Transcriptional regulators</w:t>
            </w:r>
          </w:p>
        </w:tc>
      </w:tr>
      <w:tr w:rsidR="007A00F1" w:rsidRPr="005B08E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2617920255</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Fe-S oxidoreductase</w:t>
            </w:r>
          </w:p>
        </w:tc>
      </w:tr>
      <w:tr w:rsidR="007A00F1" w:rsidRPr="00A0198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2617920257</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4Fe-4S dicluster domain-containing protein</w:t>
            </w:r>
          </w:p>
        </w:tc>
      </w:tr>
      <w:tr w:rsidR="007A00F1" w:rsidRPr="00A0198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2617920270</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UDP-N-acetylglucosamine enolpyruvyl transferase</w:t>
            </w:r>
          </w:p>
        </w:tc>
      </w:tr>
      <w:tr w:rsidR="007A00F1" w:rsidRPr="005B08E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2617920279</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Adenylosuccinate synthase</w:t>
            </w:r>
          </w:p>
        </w:tc>
      </w:tr>
      <w:tr w:rsidR="007A00F1" w:rsidRPr="005B08E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2617920283</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Ribosomal protein L9</w:t>
            </w:r>
          </w:p>
        </w:tc>
      </w:tr>
      <w:tr w:rsidR="007A00F1" w:rsidRPr="005B08E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2617920287</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Single-stranded DNA-binding protein</w:t>
            </w:r>
          </w:p>
        </w:tc>
      </w:tr>
      <w:tr w:rsidR="007A00F1" w:rsidRPr="00A0198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2617920289</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Regulators of stationary/sporulation gene expression</w:t>
            </w:r>
          </w:p>
        </w:tc>
      </w:tr>
      <w:tr w:rsidR="007A00F1" w:rsidRPr="005B08E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2617920301</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Ribosomal protein L17</w:t>
            </w:r>
          </w:p>
        </w:tc>
      </w:tr>
      <w:tr w:rsidR="007A00F1" w:rsidRPr="00A0198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2617920302</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DNA-directed RNA polymerase, alpha subunit/40 kD subunit</w:t>
            </w:r>
          </w:p>
        </w:tc>
      </w:tr>
      <w:tr w:rsidR="007A00F1" w:rsidRPr="005B08E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2617920304</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Ribosomal protein S11</w:t>
            </w:r>
          </w:p>
        </w:tc>
      </w:tr>
      <w:tr w:rsidR="007A00F1" w:rsidRPr="005B08E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2617920312</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Ribosomal protein S5</w:t>
            </w:r>
          </w:p>
        </w:tc>
      </w:tr>
      <w:tr w:rsidR="007A00F1" w:rsidRPr="00A0198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2617920314</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large subunit ribosomal protein L6</w:t>
            </w:r>
          </w:p>
        </w:tc>
      </w:tr>
      <w:tr w:rsidR="007A00F1" w:rsidRPr="005B08E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2617920315</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Ribosomal protein S8</w:t>
            </w:r>
          </w:p>
        </w:tc>
      </w:tr>
      <w:tr w:rsidR="007A00F1" w:rsidRPr="005B08E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2617920324</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Ribosomal protein L22</w:t>
            </w:r>
          </w:p>
        </w:tc>
      </w:tr>
      <w:tr w:rsidR="007A00F1" w:rsidRPr="005B08E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2617920330</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Ribosomal protein S10</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2617920332</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type IV pilus assembly protein PilA</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2617920353</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Predicted Zn-dependent proteases and their inactivated homologs - COG0312</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2617920358</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elongation factor P</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2617920361</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NADPH-dependent 2,4-dienoyl-CoA reductase, sulfur reductase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2617920371</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oxaloacetate decarboxylase, alpha subunit</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2617920373</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Uncharacterized conserved protein YloU, alkaline shock protein (Asp23) family</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2617920377</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ferredoxin--NADP+ reductase</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2617920378</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glutamate synthase (NADPH/NADH) small chain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2617920381</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Formiminotetrahydrofolate cyclodeaminase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2617920382</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Exonuclease VII small subunit</w:t>
            </w:r>
          </w:p>
        </w:tc>
      </w:tr>
      <w:tr w:rsidR="007A00F1" w:rsidRPr="005B08E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2617920414</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Uncharacterized conserved protein - COG3360</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2617920427</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Putative sterol carrier protein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2617920434</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Aspartate-semialdehyde dehydrogenase</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2617920436</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Dihydrodipicolinate synthase/N-acetylneuraminate lyase</w:t>
            </w:r>
          </w:p>
        </w:tc>
      </w:tr>
      <w:tr w:rsidR="007A00F1" w:rsidRPr="005B08E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2617920444</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hypothetical protein</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2617920456</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stage V sporulation protein S</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2617920469</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IMP dehydrogenase/GMP reductase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2617920539</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S-layer homology domain</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2617920542</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Negative regulator of flagellin synthesis (anti-sigma28 factor)</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2617920549</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Flagellar capping protein</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2617920552</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Flagellin and related hook-associated proteins</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2617920568</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hypothetical protein</w:t>
            </w:r>
          </w:p>
        </w:tc>
      </w:tr>
      <w:tr w:rsidR="007A00F1" w:rsidRPr="005B08E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2617920570</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Stress response protein SCP2</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2617920571</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tellurium resistance protein TerD</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2617920573</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tellurium resistance protein TerD</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2617920589</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Superoxide dismutase</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2617920615</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Electron transfer flavoprotein, alpha subunit</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2617920616</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Electron transfer flavoprotein, beta subunit</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2617920631</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Cell division GTPase</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2617920668</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NADH-quinone oxidoreductase subunit F</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2617920708</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Outer membrane efflux protein</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2617920709</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Copper amine oxidase N-terminal domain</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2617920710</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Copper amine oxidase N-terminal domain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2617920712</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hypothetical protein</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2617920728</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NifU homolog involved in Fe-S cluster formation</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2617920742</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precorrin-2/cobalt-factor-2 C20-methyltransferase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2617920747</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Uncharacterized conserved protein</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2617920779</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Predicted periplasmic solute-binding protein - COG1427</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2617920796</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Uncharacterized protein conserved in bacteria</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2617920806</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FOG: LysM repeat</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2617920807</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hypothetical protein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2617920823</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stage V sporulation protein G</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2617920835</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Parvulin-like peptidyl-prolyl isomerase</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2617920838</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Bacterial nucleoid DNA-binding protein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2617920844</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Methyl-accepting chemotaxis protein</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2617920854</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prevent-host-death family protein</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2617920867</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2,4-dienoyl-CoA reductase, NADH:flavin oxidoreductases, Old Yellow Enzyme family</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2617920868</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S-layer homology domain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2617920891</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hypothetical protein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2617920910</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hypothetical protein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2617920940</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hypothetical protein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2617920966</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Methyl-accepting chemotaxis protein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2617920969</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Methyl-accepting chemotaxis protein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2617920990</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NADPH-dependent FMN reductase</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2617920998</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rod shape-determining protein MreB</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2617921007</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arginine decarboxylase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2617921008</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Spermidine synthase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2617921016</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hypothetical protein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2617921017</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Predicted membrane protein - COG2855</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2617921019</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N-acetylglutamate synthase (N-acetylornithine aminotransferase)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2617921020</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Acetylglutamate kinase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2617921021</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Ornithine/acetylornithine aminotransferase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2617921024</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Ornithine carbamoyltransferase</w:t>
            </w:r>
          </w:p>
        </w:tc>
      </w:tr>
      <w:tr w:rsidR="007A00F1" w:rsidRPr="005B08E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2617921025</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argininosuccinate synthase</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2617921045</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Branched-chain amino acid aminotransferase/4-amino-4-deoxychorismate lyase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2617921047</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acetolactate synthase, large subunit</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2617921048</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Acetolactate synthase, small (regulatory) subunit</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2617921049</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Ketol-acid reductoisomerase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2617921051</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2-isopropylmalate synthase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2617921052</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3-isopropylmalate dehydratase large subunit</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2617921054</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Isocitrate/isopropylmalate dehydrogenase</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2617921056</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NifU-like domain-containing protein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2617921084</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Ribosomal protein S2</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2617921085</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Translation elongation factor Ts</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2617921087</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Ribosome recycling factor</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2617921114</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Heterodisulfide reductase, subunit A and related polyferredoxins</w:t>
            </w:r>
          </w:p>
        </w:tc>
      </w:tr>
      <w:tr w:rsidR="007A00F1" w:rsidRPr="00A0198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2617921115</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CoB--CoM heterodisulfide reductase subunit C</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2617921116</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Heterodisulfide reductase, subunit B</w:t>
            </w:r>
          </w:p>
        </w:tc>
      </w:tr>
      <w:tr w:rsidR="007A00F1" w:rsidRPr="00A0198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2617921119</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4Fe-4S dicluster domain-containing protein</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2617921120</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4Fe-4S dicluster domain-containing protein</w:t>
            </w:r>
          </w:p>
        </w:tc>
      </w:tr>
      <w:tr w:rsidR="007A00F1" w:rsidRPr="00A0198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2617921121</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NAD(P)H-flavin reductase</w:t>
            </w:r>
          </w:p>
        </w:tc>
      </w:tr>
      <w:tr w:rsidR="007A00F1" w:rsidRPr="005B08E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2617921123</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heterodisulfide reductase subunit A</w:t>
            </w:r>
          </w:p>
        </w:tc>
      </w:tr>
      <w:tr w:rsidR="007A00F1" w:rsidRPr="00A0198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2617921133</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FKBP-type peptidyl-prolyl cis-trans isomerase (trigger factor)</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2617921134</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Protease subunit of ATP-dependent Clp proteases</w:t>
            </w:r>
          </w:p>
        </w:tc>
      </w:tr>
      <w:tr w:rsidR="007A00F1" w:rsidRPr="005B08E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2617921139</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Rubrerythrin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2617921145</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Zn-dependent alcohol dehydrogenases</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2617921178</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Glutamate synthase domain 2</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2617921183</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Clostridium P-47 protein</w:t>
            </w:r>
          </w:p>
        </w:tc>
      </w:tr>
      <w:tr w:rsidR="007A00F1" w:rsidRPr="005B08E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2617921188</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Clostridium P-47 protein</w:t>
            </w:r>
          </w:p>
        </w:tc>
      </w:tr>
      <w:tr w:rsidR="007A00F1" w:rsidRPr="005B08E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2617921189</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Clostridium P-47 protein</w:t>
            </w:r>
          </w:p>
        </w:tc>
      </w:tr>
      <w:tr w:rsidR="007A00F1" w:rsidRPr="00A0198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2617921206</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Universal stress protein UspA and related nucleotide-binding proteins</w:t>
            </w:r>
          </w:p>
        </w:tc>
      </w:tr>
      <w:tr w:rsidR="007A00F1" w:rsidRPr="00A0198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2617921225</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ABC-type molybdate transport system, periplasmic component</w:t>
            </w:r>
          </w:p>
        </w:tc>
      </w:tr>
      <w:tr w:rsidR="007A00F1" w:rsidRPr="00A0198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2617921237</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ABC-type Fe3+-hydroxamate transport system, periplasmic component</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2617921239</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Cobalamin biosynthesis protein CobN and related Mg-chelatases</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2617921243</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protoporphyrin IX magnesium-chelatase (EC 6.6.1.1)</w:t>
            </w:r>
          </w:p>
        </w:tc>
      </w:tr>
      <w:tr w:rsidR="007A00F1" w:rsidRPr="00A0198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2617921245</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Copper amine oxidase N-terminal domain</w:t>
            </w:r>
          </w:p>
        </w:tc>
      </w:tr>
      <w:tr w:rsidR="007A00F1" w:rsidRPr="00A0198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2617921249</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protein of unknown function (DUF4198)</w:t>
            </w:r>
          </w:p>
        </w:tc>
      </w:tr>
      <w:tr w:rsidR="007A00F1" w:rsidRPr="00A0198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2617921251</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Methylase involved in ubiquinone/menaquinone biosynthesis, UbiE</w:t>
            </w:r>
          </w:p>
        </w:tc>
      </w:tr>
      <w:tr w:rsidR="007A00F1" w:rsidRPr="005B08E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2617921252</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peptide/nickel transport system substrate-binding protein</w:t>
            </w:r>
          </w:p>
        </w:tc>
      </w:tr>
      <w:tr w:rsidR="007A00F1" w:rsidRPr="00A0198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2617921263</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Prenyltransferase and squalene oxidase repeat-containing protein</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2617921272</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Uncharacterized protein probably involved in high-affinity Fe2+ transport</w:t>
            </w:r>
          </w:p>
        </w:tc>
      </w:tr>
      <w:tr w:rsidR="007A00F1" w:rsidRPr="00A0198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2617921288</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Pyruvate:ferredoxin oxidoreductase and related 2-oxoacid:ferredoxin oxidoreductases, alpha subunit</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2617921314</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S-layer homology domain-containing protein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2617921321</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cell division protease FtsH</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2617921327</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Dihydroneopterin aldolase</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2617921335</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Predicted oxidoreductase, contains short-chain dehydrogenase (SDR) and DUF2520 domains</w:t>
            </w:r>
          </w:p>
        </w:tc>
      </w:tr>
      <w:tr w:rsidR="007A00F1" w:rsidRPr="005B08E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2617921338</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Aspartate 1-decarboxylase</w:t>
            </w:r>
          </w:p>
        </w:tc>
      </w:tr>
      <w:tr w:rsidR="007A00F1" w:rsidRPr="005B08E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2617921339</w:t>
            </w:r>
          </w:p>
        </w:tc>
        <w:tc>
          <w:tcPr>
            <w:tcW w:w="0" w:type="auto"/>
            <w:vAlign w:val="center"/>
            <w:hideMark/>
          </w:tcPr>
          <w:p w:rsidR="007A00F1" w:rsidRPr="005B08EC" w:rsidRDefault="007A00F1" w:rsidP="008E1FC3">
            <w:pPr>
              <w:jc w:val="center"/>
              <w:rPr>
                <w:rFonts w:eastAsia="Times New Roman"/>
              </w:rPr>
            </w:pPr>
            <w:r w:rsidRPr="005B08EC">
              <w:rPr>
                <w:rFonts w:eastAsia="Times New Roman"/>
              </w:rPr>
              <w:t>quinolinate synthetase</w:t>
            </w:r>
          </w:p>
        </w:tc>
      </w:tr>
      <w:tr w:rsidR="007A00F1" w:rsidRPr="005B08E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2617921350</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Phosphoenolpyruvate synthase/pyruvate phosphate dikinase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2617921361</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probable rRNA maturation factor</w:t>
            </w:r>
          </w:p>
        </w:tc>
      </w:tr>
      <w:tr w:rsidR="007A00F1" w:rsidRPr="00A0198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2617921370</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Predicted Fe-Mo cluster-binding protein, NifX family</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2617921373</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hypothetical protein</w:t>
            </w:r>
          </w:p>
        </w:tc>
      </w:tr>
      <w:tr w:rsidR="007A00F1" w:rsidRPr="005B08EC" w:rsidTr="008E1FC3">
        <w:trPr>
          <w:trHeight w:val="315"/>
        </w:trPr>
        <w:tc>
          <w:tcPr>
            <w:tcW w:w="0" w:type="auto"/>
            <w:vAlign w:val="center"/>
            <w:hideMark/>
          </w:tcPr>
          <w:p w:rsidR="007A00F1" w:rsidRPr="005B08EC" w:rsidRDefault="007A00F1" w:rsidP="008E1FC3">
            <w:pPr>
              <w:jc w:val="center"/>
              <w:rPr>
                <w:rFonts w:eastAsia="Times New Roman"/>
              </w:rPr>
            </w:pPr>
            <w:r w:rsidRPr="005B08EC">
              <w:rPr>
                <w:rFonts w:eastAsia="Times New Roman"/>
              </w:rPr>
              <w:t>2617921374</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Uncharacterized conserved protein - COG1433</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2617921379</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CO dehydrogenase/acetyl-CoA synthase beta subunit</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2617921380</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Ni-dependent carbon monoxide dehydrogenase precursor</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2617921406</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Uncharacterized conserved protein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2617921411</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perosamine synthetase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2617921413</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GDPmannose 4,6-dehydratase</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2617921451</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Uncharacterized conserved protein YloU, alkaline shock protein (Asp23) family</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2617921459</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Cell fate regulator YlbF, YheA/YmcA/DUF963 family (controls sporulation, competence, biofilm development)</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2617921466</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RNA-binding protein Hfq</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2617921504</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Protein of unknown function (DUF1292)</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2617921510</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hypothetical protein</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2617921525</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Predicted membrane GTPase involved in stress response - COG1217</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2617921570</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Chaperonin GroEL (HSP60 family)</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2617921571</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Molecular chaperone GrpE (heat shock protein)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2617921572</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Molecular chaperone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2617921578</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Ribosomal protein S21</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2617921592</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cysteinyl-tRNA synthetase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2617921655</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N-formylmethionyl-tRNA deformylase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2617921657</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hypothetical protein</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2617921662</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Uncharacterized protein conserved in bacteria</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2617921665</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Uncharacterized conserved protein - COG1416</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2617921670</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ATPase, P-type (transporting), HAD superfamily, subfamily IC</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2617921717</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Copper chaperone</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2617921725</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Peptidyl-prolyl cis-trans isomerase (rotamase) - cyclophilin family</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2617921733</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Benzoyl-CoA reductase/2-hydroxyglutaryl-CoA dehydratase subunit, BcrC/BadD/HgdB</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2617921734</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Benzoyl-CoA reductase/2-hydroxyglutaryl-CoA dehydratase subunit, BcrC/BadD/HgdB</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2617921806</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Chorismate mutase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2617921820</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Predicted periplasmic protein (DUF2233)</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2617921821</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Uncharacterized protein containing a ferredoxin domain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2617921825</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Di- and tricarboxylate transporters</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2617921828</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Pyridoxamine 5'-phosphate oxidase</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2617921834</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Secreted protein containing C-terminal beta-propeller domain distantly related to WD-40 repeats</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2617921875</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Cold shock proteins</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2617921876</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Universal stress protein UspA and related nucleotide-binding proteins</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2617921886</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FAD/FMN-containing dehydrogenases</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2617921887</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heterodisulfide reductase subunit D</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2617921888</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FAD/FMN-containing dehydrogenases</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2617921889</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KamA family protein</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2617921890</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Enoyl-CoA hydratase/carnithine racemase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2617921891</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acetyltransferase</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2617921896</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Crotonobetainyl-CoA:carnitine CoA-transferase CaiB</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2617921897</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CoA:oxalate CoA-transferase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2617921905</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phosphoenolpyruvate--protein phosphotransferase</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2617921910</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N-acetylmuramoyl-L-alanine amidase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2617921915</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RNAse PH</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2617921959</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Sporulation protein and related proteins</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2617921962</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Preprotein translocase subunit YajC</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2617921964</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Preprotein translocase subunit SecD</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2617921965</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Preprotein translocase subunit SecF</w:t>
            </w:r>
          </w:p>
        </w:tc>
      </w:tr>
      <w:tr w:rsidR="007A00F1" w:rsidRPr="00A0198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2617921968</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Universal stress protein UspA and related nucleotide-binding proteins</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2617921985</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carboxyl-terminal processing protease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2617921996</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Ribosomal protein L11</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2617921997</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Ribosomal protein L1</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2617921998</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Ribosomal protein L10</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2617921999</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Ribosomal protein L7/L12</w:t>
            </w:r>
          </w:p>
        </w:tc>
      </w:tr>
      <w:tr w:rsidR="007A00F1" w:rsidRPr="00F25C3A"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2617922000</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DNA-directed RNA polymerase, beta subunit/140 kD subunit</w:t>
            </w:r>
          </w:p>
        </w:tc>
      </w:tr>
      <w:tr w:rsidR="007A00F1" w:rsidRPr="00F25C3A"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2617922002</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DNA-directed RNA polymerase subunit beta</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2617922005</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Ribosomal protein S7</w:t>
            </w:r>
          </w:p>
        </w:tc>
      </w:tr>
      <w:tr w:rsidR="007A00F1" w:rsidRPr="00F25C3A"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2617922006</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translation elongation factor 2 (EF-2/EF-G)</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2617922007</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GTPases - translation elongation factors</w:t>
            </w:r>
          </w:p>
        </w:tc>
      </w:tr>
      <w:tr w:rsidR="007A00F1" w:rsidRPr="00F25C3A"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2617922012</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RNA recognition motif. (a.k.a. RRM, RBD, or RNP domain)</w:t>
            </w:r>
          </w:p>
        </w:tc>
      </w:tr>
      <w:tr w:rsidR="007A00F1" w:rsidRPr="00F25C3A"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2617922055</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large subunit ribosomal protein L21</w:t>
            </w:r>
          </w:p>
        </w:tc>
      </w:tr>
      <w:tr w:rsidR="007A00F1" w:rsidRPr="00F25C3A"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2617922070</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long-chain acyl-CoA synthetase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2617922073</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Rhodanese-related sulfurtransferase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2617922086</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HlyD family secretion protein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2617922096</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thiazole-phosphate synthase</w:t>
            </w:r>
          </w:p>
        </w:tc>
      </w:tr>
      <w:tr w:rsidR="007A00F1" w:rsidRPr="00F25C3A"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2617922097</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Sulfur transfer protein involved in thiamine biosynthesis</w:t>
            </w:r>
          </w:p>
        </w:tc>
      </w:tr>
      <w:tr w:rsidR="007A00F1" w:rsidRPr="00F25C3A"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2617922102</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Conserved protein/domain typically associated with flavoprotein oxygenases, DIM6/NTAB family</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2617922105</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Transcription elongation factor</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2617922118</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hypothetical protein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2617922137</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Acetyl-CoA acetyltransferase</w:t>
            </w:r>
          </w:p>
        </w:tc>
      </w:tr>
      <w:tr w:rsidR="007A00F1" w:rsidRPr="00F25C3A"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2617922161</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ABC-type molybdate transport system, periplasmic component</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2617922188</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Thioredoxin domain-containing protein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2617922218</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Uncharacterized conserved protein - COG2442</w:t>
            </w:r>
          </w:p>
        </w:tc>
      </w:tr>
      <w:tr w:rsidR="007A00F1" w:rsidRPr="00F25C3A"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2617922227</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4Fe-4S binding domain-containing protein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2617922233</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Formylmethanofuran dehydrogenase subunit E</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2617922234</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cobalt/nickel transport protein</w:t>
            </w:r>
          </w:p>
        </w:tc>
      </w:tr>
      <w:tr w:rsidR="007A00F1" w:rsidRPr="00F25C3A"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2617922251</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Uncharacterized protein conserved in bacteria</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2617922257</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adenine phosphoribosyltransferase</w:t>
            </w:r>
          </w:p>
        </w:tc>
      </w:tr>
      <w:tr w:rsidR="007A00F1" w:rsidRPr="00F25C3A"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2617922283</w:t>
            </w:r>
          </w:p>
        </w:tc>
        <w:tc>
          <w:tcPr>
            <w:tcW w:w="0" w:type="auto"/>
            <w:noWrap/>
            <w:vAlign w:val="center"/>
            <w:hideMark/>
          </w:tcPr>
          <w:p w:rsidR="007A00F1" w:rsidRPr="005B08EC" w:rsidRDefault="007A00F1" w:rsidP="008E1FC3">
            <w:pPr>
              <w:jc w:val="center"/>
              <w:rPr>
                <w:rFonts w:eastAsia="Times New Roman"/>
                <w:lang w:val="en-US"/>
              </w:rPr>
            </w:pPr>
            <w:r w:rsidRPr="005B08EC">
              <w:rPr>
                <w:rFonts w:eastAsia="Times New Roman"/>
                <w:lang w:val="en-US"/>
              </w:rPr>
              <w:t>D-alanine-D-alanine ligase and related ATP-grasp enzymes</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2617922285</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Translation elongation factors (GTPases)</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2617922317</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Clp amino terminal domain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unclassfied</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hypothetical protein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undefined</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Thioredoxin domain-containing protein</w:t>
            </w:r>
          </w:p>
        </w:tc>
      </w:tr>
      <w:tr w:rsidR="007A00F1" w:rsidRPr="005B08EC" w:rsidTr="008E1FC3">
        <w:trPr>
          <w:trHeight w:val="315"/>
        </w:trPr>
        <w:tc>
          <w:tcPr>
            <w:tcW w:w="0" w:type="auto"/>
            <w:noWrap/>
            <w:vAlign w:val="center"/>
            <w:hideMark/>
          </w:tcPr>
          <w:p w:rsidR="007A00F1" w:rsidRPr="005B08EC" w:rsidRDefault="007A00F1" w:rsidP="008E1FC3">
            <w:pPr>
              <w:jc w:val="center"/>
              <w:rPr>
                <w:rFonts w:eastAsia="Times New Roman"/>
              </w:rPr>
            </w:pPr>
            <w:r w:rsidRPr="005B08EC">
              <w:rPr>
                <w:rFonts w:eastAsia="Times New Roman"/>
              </w:rPr>
              <w:t>undefined</w:t>
            </w:r>
          </w:p>
        </w:tc>
        <w:tc>
          <w:tcPr>
            <w:tcW w:w="0" w:type="auto"/>
            <w:noWrap/>
            <w:vAlign w:val="center"/>
            <w:hideMark/>
          </w:tcPr>
          <w:p w:rsidR="007A00F1" w:rsidRPr="005B08EC" w:rsidRDefault="007A00F1" w:rsidP="008E1FC3">
            <w:pPr>
              <w:jc w:val="center"/>
              <w:rPr>
                <w:rFonts w:eastAsia="Times New Roman"/>
              </w:rPr>
            </w:pPr>
            <w:r w:rsidRPr="005B08EC">
              <w:rPr>
                <w:rFonts w:eastAsia="Times New Roman"/>
              </w:rPr>
              <w:t>Predicted acid phosphatase - COG0496</w:t>
            </w:r>
          </w:p>
        </w:tc>
      </w:tr>
    </w:tbl>
    <w:p w:rsidR="00F06883" w:rsidRPr="005B08EC" w:rsidRDefault="00F06883" w:rsidP="00246AC7">
      <w:pPr>
        <w:rPr>
          <w:lang w:val="en-US"/>
        </w:rPr>
      </w:pPr>
    </w:p>
    <w:p w:rsidR="00416D79" w:rsidRPr="005B08EC" w:rsidRDefault="00416D79" w:rsidP="00246AC7">
      <w:pPr>
        <w:rPr>
          <w:lang w:val="en-US"/>
        </w:rPr>
      </w:pPr>
    </w:p>
    <w:p w:rsidR="00416D79" w:rsidRPr="005B08EC" w:rsidRDefault="00416D79" w:rsidP="00246AC7">
      <w:pPr>
        <w:rPr>
          <w:lang w:val="en-US"/>
        </w:rPr>
      </w:pPr>
    </w:p>
    <w:p w:rsidR="00416D79" w:rsidRPr="005B08EC" w:rsidRDefault="00416D79" w:rsidP="00246AC7">
      <w:pPr>
        <w:rPr>
          <w:lang w:val="en-US"/>
        </w:rPr>
      </w:pPr>
    </w:p>
    <w:p w:rsidR="00416D79" w:rsidRPr="005B08EC" w:rsidRDefault="00416D79" w:rsidP="00246AC7">
      <w:pPr>
        <w:rPr>
          <w:lang w:val="en-US"/>
        </w:rPr>
      </w:pPr>
    </w:p>
    <w:p w:rsidR="00416D79" w:rsidRPr="005B08EC" w:rsidRDefault="00416D79" w:rsidP="00246AC7">
      <w:pPr>
        <w:rPr>
          <w:lang w:val="en-US"/>
        </w:rPr>
      </w:pPr>
    </w:p>
    <w:p w:rsidR="00416D79" w:rsidRPr="005B08EC" w:rsidRDefault="00416D79" w:rsidP="00246AC7">
      <w:pPr>
        <w:rPr>
          <w:lang w:val="en-US"/>
        </w:rPr>
      </w:pPr>
    </w:p>
    <w:p w:rsidR="0087313D" w:rsidRPr="005B08EC" w:rsidRDefault="0087313D" w:rsidP="0087313D">
      <w:pPr>
        <w:spacing w:line="480" w:lineRule="auto"/>
        <w:rPr>
          <w:sz w:val="24"/>
          <w:szCs w:val="24"/>
          <w:lang w:val="en-US"/>
        </w:rPr>
      </w:pPr>
      <w:r w:rsidRPr="005B08EC">
        <w:rPr>
          <w:sz w:val="24"/>
          <w:szCs w:val="24"/>
          <w:lang w:val="en-US"/>
        </w:rPr>
        <w:t xml:space="preserve">Table S3 Features of the </w:t>
      </w:r>
      <w:r w:rsidRPr="005B08EC">
        <w:rPr>
          <w:iCs/>
          <w:sz w:val="24"/>
          <w:szCs w:val="24"/>
          <w:lang w:val="en-US"/>
        </w:rPr>
        <w:t xml:space="preserve">candidate </w:t>
      </w:r>
      <w:r w:rsidRPr="005B08EC">
        <w:rPr>
          <w:i/>
          <w:iCs/>
          <w:sz w:val="24"/>
          <w:szCs w:val="24"/>
          <w:lang w:val="en-US"/>
        </w:rPr>
        <w:t>Pelotomaculum</w:t>
      </w:r>
      <w:r w:rsidRPr="005B08EC">
        <w:rPr>
          <w:iCs/>
          <w:sz w:val="24"/>
          <w:szCs w:val="24"/>
          <w:lang w:val="en-US"/>
        </w:rPr>
        <w:t xml:space="preserve"> BPL </w:t>
      </w:r>
      <w:r w:rsidRPr="005B08EC">
        <w:rPr>
          <w:sz w:val="24"/>
          <w:szCs w:val="24"/>
          <w:lang w:val="en-US"/>
        </w:rPr>
        <w:t>genome based on the IMG platform.</w:t>
      </w:r>
    </w:p>
    <w:p w:rsidR="0087313D" w:rsidRPr="005B08EC" w:rsidRDefault="0087313D" w:rsidP="0087313D">
      <w:pPr>
        <w:rPr>
          <w:lang w:val="en-US"/>
        </w:rPr>
      </w:pPr>
    </w:p>
    <w:tbl>
      <w:tblPr>
        <w:tblStyle w:val="TableGrid"/>
        <w:tblW w:w="0" w:type="auto"/>
        <w:jc w:val="center"/>
        <w:tblLook w:val="04A0" w:firstRow="1" w:lastRow="0" w:firstColumn="1" w:lastColumn="0" w:noHBand="0" w:noVBand="1"/>
      </w:tblPr>
      <w:tblGrid>
        <w:gridCol w:w="5379"/>
        <w:gridCol w:w="986"/>
        <w:gridCol w:w="1157"/>
      </w:tblGrid>
      <w:tr w:rsidR="0087313D" w:rsidRPr="005B08EC" w:rsidTr="00F25C3A">
        <w:trPr>
          <w:jc w:val="center"/>
        </w:trPr>
        <w:tc>
          <w:tcPr>
            <w:tcW w:w="0" w:type="auto"/>
            <w:shd w:val="clear" w:color="auto" w:fill="auto"/>
            <w:vAlign w:val="center"/>
            <w:hideMark/>
          </w:tcPr>
          <w:p w:rsidR="0087313D" w:rsidRPr="005B08EC" w:rsidRDefault="0087313D" w:rsidP="00F25C3A">
            <w:pPr>
              <w:rPr>
                <w:lang w:val="en-US"/>
              </w:rPr>
            </w:pPr>
          </w:p>
        </w:tc>
        <w:tc>
          <w:tcPr>
            <w:tcW w:w="0" w:type="auto"/>
            <w:shd w:val="clear" w:color="auto" w:fill="auto"/>
            <w:vAlign w:val="center"/>
            <w:hideMark/>
          </w:tcPr>
          <w:p w:rsidR="0087313D" w:rsidRPr="005B08EC" w:rsidRDefault="0087313D" w:rsidP="00F25C3A">
            <w:r w:rsidRPr="005B08EC">
              <w:t>Number</w:t>
            </w:r>
          </w:p>
        </w:tc>
        <w:tc>
          <w:tcPr>
            <w:tcW w:w="0" w:type="auto"/>
            <w:shd w:val="clear" w:color="auto" w:fill="auto"/>
            <w:vAlign w:val="center"/>
            <w:hideMark/>
          </w:tcPr>
          <w:p w:rsidR="0087313D" w:rsidRPr="005B08EC" w:rsidRDefault="0087313D" w:rsidP="00F25C3A">
            <w:r w:rsidRPr="005B08EC">
              <w:t>% of Total</w:t>
            </w:r>
          </w:p>
        </w:tc>
      </w:tr>
      <w:tr w:rsidR="0087313D" w:rsidRPr="005B08EC" w:rsidTr="00F25C3A">
        <w:trPr>
          <w:jc w:val="center"/>
        </w:trPr>
        <w:tc>
          <w:tcPr>
            <w:tcW w:w="0" w:type="auto"/>
            <w:shd w:val="clear" w:color="auto" w:fill="auto"/>
            <w:vAlign w:val="center"/>
            <w:hideMark/>
          </w:tcPr>
          <w:p w:rsidR="0087313D" w:rsidRPr="005B08EC" w:rsidRDefault="0087313D" w:rsidP="00F25C3A">
            <w:pPr>
              <w:rPr>
                <w:lang w:val="en-US"/>
              </w:rPr>
            </w:pPr>
            <w:r w:rsidRPr="005B08EC">
              <w:rPr>
                <w:lang w:val="en-US"/>
              </w:rPr>
              <w:t>DNA, total number of bases</w:t>
            </w:r>
          </w:p>
        </w:tc>
        <w:tc>
          <w:tcPr>
            <w:tcW w:w="0" w:type="auto"/>
            <w:shd w:val="clear" w:color="auto" w:fill="auto"/>
            <w:vAlign w:val="center"/>
            <w:hideMark/>
          </w:tcPr>
          <w:p w:rsidR="0087313D" w:rsidRPr="005B08EC" w:rsidRDefault="0087313D" w:rsidP="00F25C3A">
            <w:r w:rsidRPr="005B08EC">
              <w:t>2986707</w:t>
            </w:r>
          </w:p>
        </w:tc>
        <w:tc>
          <w:tcPr>
            <w:tcW w:w="0" w:type="auto"/>
            <w:shd w:val="clear" w:color="auto" w:fill="auto"/>
            <w:vAlign w:val="center"/>
            <w:hideMark/>
          </w:tcPr>
          <w:p w:rsidR="0087313D" w:rsidRPr="005B08EC" w:rsidRDefault="0087313D" w:rsidP="00F25C3A">
            <w:r w:rsidRPr="005B08EC">
              <w:t>100.00%</w:t>
            </w:r>
          </w:p>
        </w:tc>
      </w:tr>
      <w:tr w:rsidR="0087313D" w:rsidRPr="005B08EC" w:rsidTr="00F25C3A">
        <w:trPr>
          <w:jc w:val="center"/>
        </w:trPr>
        <w:tc>
          <w:tcPr>
            <w:tcW w:w="0" w:type="auto"/>
            <w:shd w:val="clear" w:color="auto" w:fill="auto"/>
            <w:vAlign w:val="center"/>
            <w:hideMark/>
          </w:tcPr>
          <w:p w:rsidR="0087313D" w:rsidRPr="005B08EC" w:rsidRDefault="0087313D" w:rsidP="00F25C3A">
            <w:pPr>
              <w:rPr>
                <w:lang w:val="en-US"/>
              </w:rPr>
            </w:pPr>
            <w:r w:rsidRPr="005B08EC">
              <w:rPr>
                <w:lang w:val="en-US"/>
              </w:rPr>
              <w:t>DNA coding number of bases</w:t>
            </w:r>
          </w:p>
        </w:tc>
        <w:tc>
          <w:tcPr>
            <w:tcW w:w="0" w:type="auto"/>
            <w:shd w:val="clear" w:color="auto" w:fill="auto"/>
            <w:vAlign w:val="center"/>
            <w:hideMark/>
          </w:tcPr>
          <w:p w:rsidR="0087313D" w:rsidRPr="005B08EC" w:rsidRDefault="0087313D" w:rsidP="00F25C3A">
            <w:r w:rsidRPr="005B08EC">
              <w:t>2432208</w:t>
            </w:r>
          </w:p>
        </w:tc>
        <w:tc>
          <w:tcPr>
            <w:tcW w:w="0" w:type="auto"/>
            <w:shd w:val="clear" w:color="auto" w:fill="auto"/>
            <w:vAlign w:val="center"/>
            <w:hideMark/>
          </w:tcPr>
          <w:p w:rsidR="0087313D" w:rsidRPr="005B08EC" w:rsidRDefault="0087313D" w:rsidP="00F25C3A">
            <w:r w:rsidRPr="005B08EC">
              <w:t>81.43%</w:t>
            </w:r>
          </w:p>
        </w:tc>
      </w:tr>
      <w:tr w:rsidR="0087313D" w:rsidRPr="005B08EC" w:rsidTr="00F25C3A">
        <w:trPr>
          <w:jc w:val="center"/>
        </w:trPr>
        <w:tc>
          <w:tcPr>
            <w:tcW w:w="0" w:type="auto"/>
            <w:shd w:val="clear" w:color="auto" w:fill="auto"/>
            <w:vAlign w:val="center"/>
            <w:hideMark/>
          </w:tcPr>
          <w:p w:rsidR="0087313D" w:rsidRPr="005B08EC" w:rsidRDefault="0087313D" w:rsidP="00F25C3A">
            <w:pPr>
              <w:rPr>
                <w:lang w:val="en-US"/>
              </w:rPr>
            </w:pPr>
            <w:r w:rsidRPr="005B08EC">
              <w:rPr>
                <w:lang w:val="en-US"/>
              </w:rPr>
              <w:t>DNA G+C number of bases</w:t>
            </w:r>
          </w:p>
        </w:tc>
        <w:tc>
          <w:tcPr>
            <w:tcW w:w="0" w:type="auto"/>
            <w:shd w:val="clear" w:color="auto" w:fill="auto"/>
            <w:vAlign w:val="center"/>
            <w:hideMark/>
          </w:tcPr>
          <w:p w:rsidR="0087313D" w:rsidRPr="005B08EC" w:rsidRDefault="0087313D" w:rsidP="00F25C3A">
            <w:r w:rsidRPr="005B08EC">
              <w:t>1602188</w:t>
            </w:r>
          </w:p>
        </w:tc>
        <w:tc>
          <w:tcPr>
            <w:tcW w:w="0" w:type="auto"/>
            <w:shd w:val="clear" w:color="auto" w:fill="auto"/>
            <w:vAlign w:val="center"/>
            <w:hideMark/>
          </w:tcPr>
          <w:p w:rsidR="0087313D" w:rsidRPr="005B08EC" w:rsidRDefault="0087313D" w:rsidP="00F25C3A">
            <w:r w:rsidRPr="005B08EC">
              <w:t>53.64% 1</w:t>
            </w:r>
          </w:p>
        </w:tc>
      </w:tr>
      <w:tr w:rsidR="0087313D" w:rsidRPr="005B08EC" w:rsidTr="00F25C3A">
        <w:trPr>
          <w:jc w:val="center"/>
        </w:trPr>
        <w:tc>
          <w:tcPr>
            <w:tcW w:w="0" w:type="auto"/>
            <w:shd w:val="clear" w:color="auto" w:fill="auto"/>
            <w:vAlign w:val="center"/>
            <w:hideMark/>
          </w:tcPr>
          <w:p w:rsidR="0087313D" w:rsidRPr="005B08EC" w:rsidRDefault="0087313D" w:rsidP="00F25C3A"/>
        </w:tc>
        <w:tc>
          <w:tcPr>
            <w:tcW w:w="0" w:type="auto"/>
            <w:shd w:val="clear" w:color="auto" w:fill="auto"/>
            <w:vAlign w:val="center"/>
            <w:hideMark/>
          </w:tcPr>
          <w:p w:rsidR="0087313D" w:rsidRPr="005B08EC" w:rsidRDefault="0087313D" w:rsidP="00F25C3A"/>
        </w:tc>
        <w:tc>
          <w:tcPr>
            <w:tcW w:w="0" w:type="auto"/>
            <w:shd w:val="clear" w:color="auto" w:fill="auto"/>
            <w:vAlign w:val="center"/>
            <w:hideMark/>
          </w:tcPr>
          <w:p w:rsidR="0087313D" w:rsidRPr="005B08EC" w:rsidRDefault="0087313D" w:rsidP="00F25C3A"/>
        </w:tc>
      </w:tr>
      <w:tr w:rsidR="0087313D" w:rsidRPr="005B08EC" w:rsidTr="00F25C3A">
        <w:trPr>
          <w:jc w:val="center"/>
        </w:trPr>
        <w:tc>
          <w:tcPr>
            <w:tcW w:w="0" w:type="auto"/>
            <w:shd w:val="clear" w:color="auto" w:fill="auto"/>
            <w:vAlign w:val="center"/>
            <w:hideMark/>
          </w:tcPr>
          <w:p w:rsidR="0087313D" w:rsidRPr="005B08EC" w:rsidRDefault="0087313D" w:rsidP="00F25C3A">
            <w:r w:rsidRPr="005B08EC">
              <w:t>DNA scaffolds</w:t>
            </w:r>
          </w:p>
        </w:tc>
        <w:tc>
          <w:tcPr>
            <w:tcW w:w="0" w:type="auto"/>
            <w:shd w:val="clear" w:color="auto" w:fill="auto"/>
            <w:vAlign w:val="center"/>
            <w:hideMark/>
          </w:tcPr>
          <w:p w:rsidR="0087313D" w:rsidRPr="005B08EC" w:rsidRDefault="00A0198C" w:rsidP="00F25C3A">
            <w:hyperlink r:id="rId16" w:history="1">
              <w:r w:rsidR="0087313D" w:rsidRPr="002E0812">
                <w:rPr>
                  <w:rStyle w:val="Hyperlink"/>
                  <w:color w:val="auto"/>
                  <w:u w:val="none"/>
                </w:rPr>
                <w:t>97</w:t>
              </w:r>
            </w:hyperlink>
          </w:p>
        </w:tc>
        <w:tc>
          <w:tcPr>
            <w:tcW w:w="0" w:type="auto"/>
            <w:shd w:val="clear" w:color="auto" w:fill="auto"/>
            <w:vAlign w:val="center"/>
            <w:hideMark/>
          </w:tcPr>
          <w:p w:rsidR="0087313D" w:rsidRPr="005B08EC" w:rsidRDefault="0087313D" w:rsidP="00F25C3A">
            <w:r w:rsidRPr="005B08EC">
              <w:t>100.00%</w:t>
            </w:r>
          </w:p>
        </w:tc>
      </w:tr>
      <w:tr w:rsidR="0087313D" w:rsidRPr="005B08EC" w:rsidTr="00F25C3A">
        <w:trPr>
          <w:jc w:val="center"/>
        </w:trPr>
        <w:tc>
          <w:tcPr>
            <w:tcW w:w="0" w:type="auto"/>
            <w:shd w:val="clear" w:color="auto" w:fill="auto"/>
            <w:vAlign w:val="center"/>
            <w:hideMark/>
          </w:tcPr>
          <w:p w:rsidR="0087313D" w:rsidRPr="005B08EC" w:rsidRDefault="0087313D" w:rsidP="00F25C3A"/>
        </w:tc>
        <w:tc>
          <w:tcPr>
            <w:tcW w:w="0" w:type="auto"/>
            <w:shd w:val="clear" w:color="auto" w:fill="auto"/>
            <w:vAlign w:val="center"/>
            <w:hideMark/>
          </w:tcPr>
          <w:p w:rsidR="0087313D" w:rsidRPr="005B08EC" w:rsidRDefault="0087313D" w:rsidP="00F25C3A"/>
        </w:tc>
        <w:tc>
          <w:tcPr>
            <w:tcW w:w="0" w:type="auto"/>
            <w:shd w:val="clear" w:color="auto" w:fill="auto"/>
            <w:vAlign w:val="center"/>
            <w:hideMark/>
          </w:tcPr>
          <w:p w:rsidR="0087313D" w:rsidRPr="005B08EC" w:rsidRDefault="0087313D" w:rsidP="00F25C3A"/>
        </w:tc>
      </w:tr>
      <w:tr w:rsidR="0087313D" w:rsidRPr="005B08EC" w:rsidTr="00F25C3A">
        <w:trPr>
          <w:jc w:val="center"/>
        </w:trPr>
        <w:tc>
          <w:tcPr>
            <w:tcW w:w="0" w:type="auto"/>
            <w:shd w:val="clear" w:color="auto" w:fill="auto"/>
            <w:vAlign w:val="center"/>
            <w:hideMark/>
          </w:tcPr>
          <w:p w:rsidR="0087313D" w:rsidRPr="005B08EC" w:rsidRDefault="0087313D" w:rsidP="00F25C3A">
            <w:r w:rsidRPr="005B08EC">
              <w:t>Genes total number</w:t>
            </w:r>
          </w:p>
        </w:tc>
        <w:tc>
          <w:tcPr>
            <w:tcW w:w="0" w:type="auto"/>
            <w:shd w:val="clear" w:color="auto" w:fill="auto"/>
            <w:vAlign w:val="center"/>
            <w:hideMark/>
          </w:tcPr>
          <w:p w:rsidR="0087313D" w:rsidRPr="005B08EC" w:rsidRDefault="0087313D" w:rsidP="00F25C3A">
            <w:r w:rsidRPr="005B08EC">
              <w:t>2952</w:t>
            </w:r>
          </w:p>
        </w:tc>
        <w:tc>
          <w:tcPr>
            <w:tcW w:w="0" w:type="auto"/>
            <w:shd w:val="clear" w:color="auto" w:fill="auto"/>
            <w:vAlign w:val="center"/>
            <w:hideMark/>
          </w:tcPr>
          <w:p w:rsidR="0087313D" w:rsidRPr="005B08EC" w:rsidRDefault="0087313D" w:rsidP="00F25C3A">
            <w:r w:rsidRPr="005B08EC">
              <w:t>100.00%</w:t>
            </w:r>
          </w:p>
        </w:tc>
      </w:tr>
      <w:tr w:rsidR="0087313D" w:rsidRPr="005B08EC" w:rsidTr="00F25C3A">
        <w:trPr>
          <w:jc w:val="center"/>
        </w:trPr>
        <w:tc>
          <w:tcPr>
            <w:tcW w:w="0" w:type="auto"/>
            <w:shd w:val="clear" w:color="auto" w:fill="auto"/>
            <w:vAlign w:val="center"/>
            <w:hideMark/>
          </w:tcPr>
          <w:p w:rsidR="0087313D" w:rsidRPr="005B08EC" w:rsidRDefault="0087313D" w:rsidP="00F25C3A">
            <w:r w:rsidRPr="005B08EC">
              <w:t>Protein coding genes</w:t>
            </w:r>
          </w:p>
        </w:tc>
        <w:tc>
          <w:tcPr>
            <w:tcW w:w="0" w:type="auto"/>
            <w:shd w:val="clear" w:color="auto" w:fill="auto"/>
            <w:vAlign w:val="center"/>
            <w:hideMark/>
          </w:tcPr>
          <w:p w:rsidR="0087313D" w:rsidRPr="005B08EC" w:rsidRDefault="00A0198C" w:rsidP="00F25C3A">
            <w:hyperlink r:id="rId17" w:history="1">
              <w:r w:rsidR="0087313D" w:rsidRPr="002E0812">
                <w:rPr>
                  <w:rStyle w:val="Hyperlink"/>
                  <w:color w:val="auto"/>
                  <w:u w:val="none"/>
                </w:rPr>
                <w:t>2873</w:t>
              </w:r>
            </w:hyperlink>
          </w:p>
        </w:tc>
        <w:tc>
          <w:tcPr>
            <w:tcW w:w="0" w:type="auto"/>
            <w:shd w:val="clear" w:color="auto" w:fill="auto"/>
            <w:vAlign w:val="center"/>
            <w:hideMark/>
          </w:tcPr>
          <w:p w:rsidR="0087313D" w:rsidRPr="005B08EC" w:rsidRDefault="0087313D" w:rsidP="00F25C3A">
            <w:r w:rsidRPr="005B08EC">
              <w:t>97.32%</w:t>
            </w:r>
          </w:p>
        </w:tc>
      </w:tr>
      <w:tr w:rsidR="0087313D" w:rsidRPr="005B08EC" w:rsidTr="00F25C3A">
        <w:trPr>
          <w:jc w:val="center"/>
        </w:trPr>
        <w:tc>
          <w:tcPr>
            <w:tcW w:w="0" w:type="auto"/>
            <w:shd w:val="clear" w:color="auto" w:fill="auto"/>
            <w:vAlign w:val="center"/>
            <w:hideMark/>
          </w:tcPr>
          <w:p w:rsidR="0087313D" w:rsidRPr="005B08EC" w:rsidRDefault="0087313D" w:rsidP="00F25C3A">
            <w:r w:rsidRPr="005B08EC">
              <w:t>RNA genes</w:t>
            </w:r>
          </w:p>
        </w:tc>
        <w:tc>
          <w:tcPr>
            <w:tcW w:w="0" w:type="auto"/>
            <w:shd w:val="clear" w:color="auto" w:fill="auto"/>
            <w:vAlign w:val="center"/>
            <w:hideMark/>
          </w:tcPr>
          <w:p w:rsidR="0087313D" w:rsidRPr="005B08EC" w:rsidRDefault="00A0198C" w:rsidP="00F25C3A">
            <w:hyperlink r:id="rId18" w:history="1">
              <w:r w:rsidR="0087313D" w:rsidRPr="002E0812">
                <w:rPr>
                  <w:rStyle w:val="Hyperlink"/>
                  <w:color w:val="auto"/>
                  <w:u w:val="none"/>
                </w:rPr>
                <w:t>79</w:t>
              </w:r>
            </w:hyperlink>
          </w:p>
        </w:tc>
        <w:tc>
          <w:tcPr>
            <w:tcW w:w="0" w:type="auto"/>
            <w:shd w:val="clear" w:color="auto" w:fill="auto"/>
            <w:vAlign w:val="center"/>
            <w:hideMark/>
          </w:tcPr>
          <w:p w:rsidR="0087313D" w:rsidRPr="005B08EC" w:rsidRDefault="0087313D" w:rsidP="00F25C3A">
            <w:r w:rsidRPr="005B08EC">
              <w:t>2.68%</w:t>
            </w:r>
          </w:p>
        </w:tc>
      </w:tr>
      <w:tr w:rsidR="0087313D" w:rsidRPr="005B08EC" w:rsidTr="00F25C3A">
        <w:trPr>
          <w:jc w:val="center"/>
        </w:trPr>
        <w:tc>
          <w:tcPr>
            <w:tcW w:w="0" w:type="auto"/>
            <w:shd w:val="clear" w:color="auto" w:fill="auto"/>
            <w:vAlign w:val="center"/>
            <w:hideMark/>
          </w:tcPr>
          <w:p w:rsidR="0087313D" w:rsidRPr="005B08EC" w:rsidRDefault="0087313D" w:rsidP="00F25C3A">
            <w:r w:rsidRPr="005B08EC">
              <w:t>rRNA genes</w:t>
            </w:r>
          </w:p>
        </w:tc>
        <w:tc>
          <w:tcPr>
            <w:tcW w:w="0" w:type="auto"/>
            <w:shd w:val="clear" w:color="auto" w:fill="auto"/>
            <w:vAlign w:val="center"/>
            <w:hideMark/>
          </w:tcPr>
          <w:p w:rsidR="0087313D" w:rsidRPr="005B08EC" w:rsidRDefault="00A0198C" w:rsidP="00F25C3A">
            <w:hyperlink r:id="rId19" w:history="1">
              <w:r w:rsidR="0087313D" w:rsidRPr="002E0812">
                <w:rPr>
                  <w:rStyle w:val="Hyperlink"/>
                  <w:color w:val="auto"/>
                  <w:u w:val="none"/>
                </w:rPr>
                <w:t>3</w:t>
              </w:r>
            </w:hyperlink>
          </w:p>
        </w:tc>
        <w:tc>
          <w:tcPr>
            <w:tcW w:w="0" w:type="auto"/>
            <w:shd w:val="clear" w:color="auto" w:fill="auto"/>
            <w:vAlign w:val="center"/>
            <w:hideMark/>
          </w:tcPr>
          <w:p w:rsidR="0087313D" w:rsidRPr="005B08EC" w:rsidRDefault="0087313D" w:rsidP="00F25C3A">
            <w:r w:rsidRPr="005B08EC">
              <w:t>0.10%</w:t>
            </w:r>
          </w:p>
        </w:tc>
      </w:tr>
      <w:tr w:rsidR="0087313D" w:rsidRPr="005B08EC" w:rsidTr="00F25C3A">
        <w:trPr>
          <w:jc w:val="center"/>
        </w:trPr>
        <w:tc>
          <w:tcPr>
            <w:tcW w:w="0" w:type="auto"/>
            <w:shd w:val="clear" w:color="auto" w:fill="auto"/>
            <w:vAlign w:val="center"/>
            <w:hideMark/>
          </w:tcPr>
          <w:p w:rsidR="0087313D" w:rsidRPr="005B08EC" w:rsidRDefault="0087313D" w:rsidP="00F25C3A">
            <w:r w:rsidRPr="005B08EC">
              <w:t>5S rRNA</w:t>
            </w:r>
          </w:p>
        </w:tc>
        <w:tc>
          <w:tcPr>
            <w:tcW w:w="0" w:type="auto"/>
            <w:shd w:val="clear" w:color="auto" w:fill="auto"/>
            <w:vAlign w:val="center"/>
            <w:hideMark/>
          </w:tcPr>
          <w:p w:rsidR="0087313D" w:rsidRPr="005B08EC" w:rsidRDefault="00A0198C" w:rsidP="00F25C3A">
            <w:hyperlink r:id="rId20" w:history="1">
              <w:r w:rsidR="0087313D" w:rsidRPr="002E0812">
                <w:rPr>
                  <w:rStyle w:val="Hyperlink"/>
                  <w:color w:val="auto"/>
                  <w:u w:val="none"/>
                </w:rPr>
                <w:t>2</w:t>
              </w:r>
            </w:hyperlink>
          </w:p>
        </w:tc>
        <w:tc>
          <w:tcPr>
            <w:tcW w:w="0" w:type="auto"/>
            <w:shd w:val="clear" w:color="auto" w:fill="auto"/>
            <w:vAlign w:val="center"/>
            <w:hideMark/>
          </w:tcPr>
          <w:p w:rsidR="0087313D" w:rsidRPr="005B08EC" w:rsidRDefault="0087313D" w:rsidP="00F25C3A">
            <w:r w:rsidRPr="005B08EC">
              <w:t>0.07%</w:t>
            </w:r>
          </w:p>
        </w:tc>
      </w:tr>
      <w:tr w:rsidR="0087313D" w:rsidRPr="005B08EC" w:rsidTr="00F25C3A">
        <w:trPr>
          <w:jc w:val="center"/>
        </w:trPr>
        <w:tc>
          <w:tcPr>
            <w:tcW w:w="0" w:type="auto"/>
            <w:shd w:val="clear" w:color="auto" w:fill="auto"/>
            <w:vAlign w:val="center"/>
            <w:hideMark/>
          </w:tcPr>
          <w:p w:rsidR="0087313D" w:rsidRPr="005B08EC" w:rsidRDefault="0087313D" w:rsidP="00F25C3A">
            <w:r w:rsidRPr="005B08EC">
              <w:t>23S rRNA</w:t>
            </w:r>
          </w:p>
        </w:tc>
        <w:tc>
          <w:tcPr>
            <w:tcW w:w="0" w:type="auto"/>
            <w:shd w:val="clear" w:color="auto" w:fill="auto"/>
            <w:vAlign w:val="center"/>
            <w:hideMark/>
          </w:tcPr>
          <w:p w:rsidR="0087313D" w:rsidRPr="005B08EC" w:rsidRDefault="00A0198C" w:rsidP="00F25C3A">
            <w:hyperlink r:id="rId21" w:history="1">
              <w:r w:rsidR="0087313D" w:rsidRPr="002E0812">
                <w:rPr>
                  <w:rStyle w:val="Hyperlink"/>
                  <w:color w:val="auto"/>
                  <w:u w:val="none"/>
                </w:rPr>
                <w:t>1</w:t>
              </w:r>
            </w:hyperlink>
          </w:p>
        </w:tc>
        <w:tc>
          <w:tcPr>
            <w:tcW w:w="0" w:type="auto"/>
            <w:shd w:val="clear" w:color="auto" w:fill="auto"/>
            <w:vAlign w:val="center"/>
            <w:hideMark/>
          </w:tcPr>
          <w:p w:rsidR="0087313D" w:rsidRPr="005B08EC" w:rsidRDefault="0087313D" w:rsidP="00F25C3A">
            <w:r w:rsidRPr="005B08EC">
              <w:t>0.03%</w:t>
            </w:r>
          </w:p>
        </w:tc>
      </w:tr>
      <w:tr w:rsidR="0087313D" w:rsidRPr="005B08EC" w:rsidTr="00F25C3A">
        <w:trPr>
          <w:jc w:val="center"/>
        </w:trPr>
        <w:tc>
          <w:tcPr>
            <w:tcW w:w="0" w:type="auto"/>
            <w:shd w:val="clear" w:color="auto" w:fill="auto"/>
            <w:vAlign w:val="center"/>
            <w:hideMark/>
          </w:tcPr>
          <w:p w:rsidR="0087313D" w:rsidRPr="005B08EC" w:rsidRDefault="0087313D" w:rsidP="00F25C3A">
            <w:r w:rsidRPr="005B08EC">
              <w:t>tRNA genes</w:t>
            </w:r>
          </w:p>
        </w:tc>
        <w:tc>
          <w:tcPr>
            <w:tcW w:w="0" w:type="auto"/>
            <w:shd w:val="clear" w:color="auto" w:fill="auto"/>
            <w:vAlign w:val="center"/>
            <w:hideMark/>
          </w:tcPr>
          <w:p w:rsidR="0087313D" w:rsidRPr="005B08EC" w:rsidRDefault="00A0198C" w:rsidP="00F25C3A">
            <w:hyperlink r:id="rId22" w:history="1">
              <w:r w:rsidR="0087313D" w:rsidRPr="002E0812">
                <w:rPr>
                  <w:rStyle w:val="Hyperlink"/>
                  <w:color w:val="auto"/>
                  <w:u w:val="none"/>
                </w:rPr>
                <w:t>43</w:t>
              </w:r>
            </w:hyperlink>
          </w:p>
        </w:tc>
        <w:tc>
          <w:tcPr>
            <w:tcW w:w="0" w:type="auto"/>
            <w:shd w:val="clear" w:color="auto" w:fill="auto"/>
            <w:vAlign w:val="center"/>
            <w:hideMark/>
          </w:tcPr>
          <w:p w:rsidR="0087313D" w:rsidRPr="005B08EC" w:rsidRDefault="0087313D" w:rsidP="00F25C3A">
            <w:r w:rsidRPr="005B08EC">
              <w:t>1.46%</w:t>
            </w:r>
          </w:p>
        </w:tc>
      </w:tr>
      <w:tr w:rsidR="0087313D" w:rsidRPr="005B08EC" w:rsidTr="00F25C3A">
        <w:trPr>
          <w:jc w:val="center"/>
        </w:trPr>
        <w:tc>
          <w:tcPr>
            <w:tcW w:w="0" w:type="auto"/>
            <w:shd w:val="clear" w:color="auto" w:fill="auto"/>
            <w:vAlign w:val="center"/>
            <w:hideMark/>
          </w:tcPr>
          <w:p w:rsidR="0087313D" w:rsidRPr="005B08EC" w:rsidRDefault="0087313D" w:rsidP="00F25C3A">
            <w:r w:rsidRPr="005B08EC">
              <w:t>Other RNA genes</w:t>
            </w:r>
          </w:p>
        </w:tc>
        <w:tc>
          <w:tcPr>
            <w:tcW w:w="0" w:type="auto"/>
            <w:shd w:val="clear" w:color="auto" w:fill="auto"/>
            <w:vAlign w:val="center"/>
            <w:hideMark/>
          </w:tcPr>
          <w:p w:rsidR="0087313D" w:rsidRPr="005B08EC" w:rsidRDefault="00A0198C" w:rsidP="00F25C3A">
            <w:hyperlink r:id="rId23" w:history="1">
              <w:r w:rsidR="0087313D" w:rsidRPr="002E0812">
                <w:rPr>
                  <w:rStyle w:val="Hyperlink"/>
                  <w:color w:val="auto"/>
                  <w:u w:val="none"/>
                </w:rPr>
                <w:t>33</w:t>
              </w:r>
            </w:hyperlink>
          </w:p>
        </w:tc>
        <w:tc>
          <w:tcPr>
            <w:tcW w:w="0" w:type="auto"/>
            <w:shd w:val="clear" w:color="auto" w:fill="auto"/>
            <w:vAlign w:val="center"/>
            <w:hideMark/>
          </w:tcPr>
          <w:p w:rsidR="0087313D" w:rsidRPr="005B08EC" w:rsidRDefault="0087313D" w:rsidP="00F25C3A">
            <w:r w:rsidRPr="005B08EC">
              <w:t>1.12%</w:t>
            </w:r>
          </w:p>
        </w:tc>
      </w:tr>
      <w:tr w:rsidR="0087313D" w:rsidRPr="005B08EC" w:rsidTr="00F25C3A">
        <w:trPr>
          <w:jc w:val="center"/>
        </w:trPr>
        <w:tc>
          <w:tcPr>
            <w:tcW w:w="0" w:type="auto"/>
            <w:shd w:val="clear" w:color="auto" w:fill="auto"/>
            <w:vAlign w:val="center"/>
            <w:hideMark/>
          </w:tcPr>
          <w:p w:rsidR="0087313D" w:rsidRPr="005B08EC" w:rsidRDefault="0087313D" w:rsidP="00F25C3A">
            <w:pPr>
              <w:rPr>
                <w:lang w:val="en-US"/>
              </w:rPr>
            </w:pPr>
            <w:r w:rsidRPr="005B08EC">
              <w:rPr>
                <w:lang w:val="en-US"/>
              </w:rPr>
              <w:t>Protein coding genes with function prediction</w:t>
            </w:r>
          </w:p>
        </w:tc>
        <w:tc>
          <w:tcPr>
            <w:tcW w:w="0" w:type="auto"/>
            <w:shd w:val="clear" w:color="auto" w:fill="auto"/>
            <w:vAlign w:val="center"/>
            <w:hideMark/>
          </w:tcPr>
          <w:p w:rsidR="0087313D" w:rsidRPr="005B08EC" w:rsidRDefault="00A0198C" w:rsidP="00F25C3A">
            <w:hyperlink r:id="rId24" w:history="1">
              <w:r w:rsidR="0087313D" w:rsidRPr="002E0812">
                <w:rPr>
                  <w:rStyle w:val="Hyperlink"/>
                  <w:color w:val="auto"/>
                  <w:u w:val="none"/>
                </w:rPr>
                <w:t>2171</w:t>
              </w:r>
            </w:hyperlink>
          </w:p>
        </w:tc>
        <w:tc>
          <w:tcPr>
            <w:tcW w:w="0" w:type="auto"/>
            <w:shd w:val="clear" w:color="auto" w:fill="auto"/>
            <w:vAlign w:val="center"/>
            <w:hideMark/>
          </w:tcPr>
          <w:p w:rsidR="0087313D" w:rsidRPr="005B08EC" w:rsidRDefault="0087313D" w:rsidP="00F25C3A">
            <w:r w:rsidRPr="005B08EC">
              <w:t>73.54%</w:t>
            </w:r>
          </w:p>
        </w:tc>
      </w:tr>
      <w:tr w:rsidR="0087313D" w:rsidRPr="005B08EC" w:rsidTr="00F25C3A">
        <w:trPr>
          <w:jc w:val="center"/>
        </w:trPr>
        <w:tc>
          <w:tcPr>
            <w:tcW w:w="0" w:type="auto"/>
            <w:shd w:val="clear" w:color="auto" w:fill="auto"/>
            <w:vAlign w:val="center"/>
            <w:hideMark/>
          </w:tcPr>
          <w:p w:rsidR="0087313D" w:rsidRPr="005B08EC" w:rsidRDefault="0087313D" w:rsidP="00F25C3A">
            <w:r w:rsidRPr="005B08EC">
              <w:t>without function prediction</w:t>
            </w:r>
          </w:p>
        </w:tc>
        <w:tc>
          <w:tcPr>
            <w:tcW w:w="0" w:type="auto"/>
            <w:shd w:val="clear" w:color="auto" w:fill="auto"/>
            <w:vAlign w:val="center"/>
            <w:hideMark/>
          </w:tcPr>
          <w:p w:rsidR="0087313D" w:rsidRPr="005B08EC" w:rsidRDefault="00A0198C" w:rsidP="00F25C3A">
            <w:hyperlink r:id="rId25" w:history="1">
              <w:r w:rsidR="0087313D" w:rsidRPr="002E0812">
                <w:rPr>
                  <w:rStyle w:val="Hyperlink"/>
                  <w:color w:val="auto"/>
                  <w:u w:val="none"/>
                </w:rPr>
                <w:t>702</w:t>
              </w:r>
            </w:hyperlink>
          </w:p>
        </w:tc>
        <w:tc>
          <w:tcPr>
            <w:tcW w:w="0" w:type="auto"/>
            <w:shd w:val="clear" w:color="auto" w:fill="auto"/>
            <w:vAlign w:val="center"/>
            <w:hideMark/>
          </w:tcPr>
          <w:p w:rsidR="0087313D" w:rsidRPr="005B08EC" w:rsidRDefault="0087313D" w:rsidP="00F25C3A">
            <w:r w:rsidRPr="005B08EC">
              <w:t>23.78%</w:t>
            </w:r>
          </w:p>
        </w:tc>
      </w:tr>
      <w:tr w:rsidR="0087313D" w:rsidRPr="005B08EC" w:rsidTr="00F25C3A">
        <w:trPr>
          <w:jc w:val="center"/>
        </w:trPr>
        <w:tc>
          <w:tcPr>
            <w:tcW w:w="0" w:type="auto"/>
            <w:shd w:val="clear" w:color="auto" w:fill="auto"/>
            <w:vAlign w:val="center"/>
            <w:hideMark/>
          </w:tcPr>
          <w:p w:rsidR="0087313D" w:rsidRPr="005B08EC" w:rsidRDefault="0087313D" w:rsidP="00F25C3A">
            <w:r w:rsidRPr="005B08EC">
              <w:t>Protein coding genes with enzymes</w:t>
            </w:r>
          </w:p>
        </w:tc>
        <w:tc>
          <w:tcPr>
            <w:tcW w:w="0" w:type="auto"/>
            <w:shd w:val="clear" w:color="auto" w:fill="auto"/>
            <w:vAlign w:val="center"/>
            <w:hideMark/>
          </w:tcPr>
          <w:p w:rsidR="0087313D" w:rsidRPr="005B08EC" w:rsidRDefault="00A0198C" w:rsidP="00F25C3A">
            <w:hyperlink r:id="rId26" w:history="1">
              <w:r w:rsidR="0087313D" w:rsidRPr="002E0812">
                <w:rPr>
                  <w:rStyle w:val="Hyperlink"/>
                  <w:color w:val="auto"/>
                  <w:u w:val="none"/>
                </w:rPr>
                <w:t>799</w:t>
              </w:r>
            </w:hyperlink>
          </w:p>
        </w:tc>
        <w:tc>
          <w:tcPr>
            <w:tcW w:w="0" w:type="auto"/>
            <w:shd w:val="clear" w:color="auto" w:fill="auto"/>
            <w:vAlign w:val="center"/>
            <w:hideMark/>
          </w:tcPr>
          <w:p w:rsidR="0087313D" w:rsidRPr="005B08EC" w:rsidRDefault="0087313D" w:rsidP="00F25C3A">
            <w:r w:rsidRPr="005B08EC">
              <w:t>27.07%</w:t>
            </w:r>
          </w:p>
        </w:tc>
      </w:tr>
      <w:tr w:rsidR="0087313D" w:rsidRPr="005B08EC" w:rsidTr="00F25C3A">
        <w:trPr>
          <w:jc w:val="center"/>
        </w:trPr>
        <w:tc>
          <w:tcPr>
            <w:tcW w:w="0" w:type="auto"/>
            <w:shd w:val="clear" w:color="auto" w:fill="auto"/>
            <w:vAlign w:val="center"/>
            <w:hideMark/>
          </w:tcPr>
          <w:p w:rsidR="0087313D" w:rsidRPr="005B08EC" w:rsidRDefault="0087313D" w:rsidP="00F25C3A">
            <w:pPr>
              <w:rPr>
                <w:lang w:val="en-US"/>
              </w:rPr>
            </w:pPr>
            <w:r w:rsidRPr="005B08EC">
              <w:rPr>
                <w:lang w:val="en-US"/>
              </w:rPr>
              <w:t>w/o enzymes but with candidate KO based enzymes</w:t>
            </w:r>
          </w:p>
        </w:tc>
        <w:tc>
          <w:tcPr>
            <w:tcW w:w="0" w:type="auto"/>
            <w:shd w:val="clear" w:color="auto" w:fill="auto"/>
            <w:vAlign w:val="center"/>
            <w:hideMark/>
          </w:tcPr>
          <w:p w:rsidR="0087313D" w:rsidRPr="005B08EC" w:rsidRDefault="00A0198C" w:rsidP="00F25C3A">
            <w:hyperlink r:id="rId27" w:history="1">
              <w:r w:rsidR="0087313D" w:rsidRPr="002E0812">
                <w:rPr>
                  <w:rStyle w:val="Hyperlink"/>
                  <w:color w:val="auto"/>
                  <w:u w:val="none"/>
                </w:rPr>
                <w:t>30</w:t>
              </w:r>
            </w:hyperlink>
          </w:p>
        </w:tc>
        <w:tc>
          <w:tcPr>
            <w:tcW w:w="0" w:type="auto"/>
            <w:shd w:val="clear" w:color="auto" w:fill="auto"/>
            <w:vAlign w:val="center"/>
            <w:hideMark/>
          </w:tcPr>
          <w:p w:rsidR="0087313D" w:rsidRPr="005B08EC" w:rsidRDefault="0087313D" w:rsidP="00F25C3A">
            <w:r w:rsidRPr="005B08EC">
              <w:t>1.02%</w:t>
            </w:r>
          </w:p>
        </w:tc>
      </w:tr>
      <w:tr w:rsidR="0087313D" w:rsidRPr="005B08EC" w:rsidTr="00F25C3A">
        <w:trPr>
          <w:jc w:val="center"/>
        </w:trPr>
        <w:tc>
          <w:tcPr>
            <w:tcW w:w="0" w:type="auto"/>
            <w:shd w:val="clear" w:color="auto" w:fill="auto"/>
            <w:vAlign w:val="center"/>
            <w:hideMark/>
          </w:tcPr>
          <w:p w:rsidR="0087313D" w:rsidRPr="005B08EC" w:rsidRDefault="0087313D" w:rsidP="00F25C3A">
            <w:pPr>
              <w:rPr>
                <w:lang w:val="en-US"/>
              </w:rPr>
            </w:pPr>
            <w:r w:rsidRPr="005B08EC">
              <w:rPr>
                <w:lang w:val="en-US"/>
              </w:rPr>
              <w:t>Protein coding genes connected to KEGG pathways3</w:t>
            </w:r>
          </w:p>
        </w:tc>
        <w:tc>
          <w:tcPr>
            <w:tcW w:w="0" w:type="auto"/>
            <w:shd w:val="clear" w:color="auto" w:fill="auto"/>
            <w:vAlign w:val="center"/>
            <w:hideMark/>
          </w:tcPr>
          <w:p w:rsidR="0087313D" w:rsidRPr="005B08EC" w:rsidRDefault="00A0198C" w:rsidP="00F25C3A">
            <w:hyperlink r:id="rId28" w:history="1">
              <w:r w:rsidR="0087313D" w:rsidRPr="002E0812">
                <w:rPr>
                  <w:rStyle w:val="Hyperlink"/>
                  <w:color w:val="auto"/>
                  <w:u w:val="none"/>
                </w:rPr>
                <w:t>849</w:t>
              </w:r>
            </w:hyperlink>
          </w:p>
        </w:tc>
        <w:tc>
          <w:tcPr>
            <w:tcW w:w="0" w:type="auto"/>
            <w:shd w:val="clear" w:color="auto" w:fill="auto"/>
            <w:vAlign w:val="center"/>
            <w:hideMark/>
          </w:tcPr>
          <w:p w:rsidR="0087313D" w:rsidRPr="005B08EC" w:rsidRDefault="0087313D" w:rsidP="00F25C3A">
            <w:r w:rsidRPr="005B08EC">
              <w:t>28.76%</w:t>
            </w:r>
          </w:p>
        </w:tc>
      </w:tr>
      <w:tr w:rsidR="0087313D" w:rsidRPr="005B08EC" w:rsidTr="00F25C3A">
        <w:trPr>
          <w:jc w:val="center"/>
        </w:trPr>
        <w:tc>
          <w:tcPr>
            <w:tcW w:w="0" w:type="auto"/>
            <w:shd w:val="clear" w:color="auto" w:fill="auto"/>
            <w:vAlign w:val="center"/>
            <w:hideMark/>
          </w:tcPr>
          <w:p w:rsidR="0087313D" w:rsidRPr="005B08EC" w:rsidRDefault="0087313D" w:rsidP="00F25C3A">
            <w:pPr>
              <w:rPr>
                <w:lang w:val="en-US"/>
              </w:rPr>
            </w:pPr>
            <w:r w:rsidRPr="005B08EC">
              <w:rPr>
                <w:lang w:val="en-US"/>
              </w:rPr>
              <w:t>not connected to KEGG pathways</w:t>
            </w:r>
          </w:p>
        </w:tc>
        <w:tc>
          <w:tcPr>
            <w:tcW w:w="0" w:type="auto"/>
            <w:shd w:val="clear" w:color="auto" w:fill="auto"/>
            <w:vAlign w:val="center"/>
            <w:hideMark/>
          </w:tcPr>
          <w:p w:rsidR="0087313D" w:rsidRPr="005B08EC" w:rsidRDefault="00A0198C" w:rsidP="00F25C3A">
            <w:hyperlink r:id="rId29" w:history="1">
              <w:r w:rsidR="0087313D" w:rsidRPr="002E0812">
                <w:rPr>
                  <w:rStyle w:val="Hyperlink"/>
                  <w:color w:val="auto"/>
                  <w:u w:val="none"/>
                </w:rPr>
                <w:t>2024</w:t>
              </w:r>
            </w:hyperlink>
          </w:p>
        </w:tc>
        <w:tc>
          <w:tcPr>
            <w:tcW w:w="0" w:type="auto"/>
            <w:shd w:val="clear" w:color="auto" w:fill="auto"/>
            <w:vAlign w:val="center"/>
            <w:hideMark/>
          </w:tcPr>
          <w:p w:rsidR="0087313D" w:rsidRPr="005B08EC" w:rsidRDefault="0087313D" w:rsidP="00F25C3A">
            <w:r w:rsidRPr="005B08EC">
              <w:t>68.56%</w:t>
            </w:r>
          </w:p>
        </w:tc>
      </w:tr>
      <w:tr w:rsidR="0087313D" w:rsidRPr="005B08EC" w:rsidTr="00F25C3A">
        <w:trPr>
          <w:jc w:val="center"/>
        </w:trPr>
        <w:tc>
          <w:tcPr>
            <w:tcW w:w="0" w:type="auto"/>
            <w:shd w:val="clear" w:color="auto" w:fill="auto"/>
            <w:vAlign w:val="center"/>
            <w:hideMark/>
          </w:tcPr>
          <w:p w:rsidR="0087313D" w:rsidRPr="005B08EC" w:rsidRDefault="0087313D" w:rsidP="00F25C3A">
            <w:pPr>
              <w:rPr>
                <w:lang w:val="en-US"/>
              </w:rPr>
            </w:pPr>
            <w:r w:rsidRPr="005B08EC">
              <w:rPr>
                <w:lang w:val="en-US"/>
              </w:rPr>
              <w:t>Protein coding genes connected to KEGG Orthology (KO)</w:t>
            </w:r>
          </w:p>
        </w:tc>
        <w:tc>
          <w:tcPr>
            <w:tcW w:w="0" w:type="auto"/>
            <w:shd w:val="clear" w:color="auto" w:fill="auto"/>
            <w:vAlign w:val="center"/>
            <w:hideMark/>
          </w:tcPr>
          <w:p w:rsidR="0087313D" w:rsidRPr="005B08EC" w:rsidRDefault="00A0198C" w:rsidP="00F25C3A">
            <w:hyperlink r:id="rId30" w:history="1">
              <w:r w:rsidR="0087313D" w:rsidRPr="002E0812">
                <w:rPr>
                  <w:rStyle w:val="Hyperlink"/>
                  <w:color w:val="auto"/>
                  <w:u w:val="none"/>
                </w:rPr>
                <w:t>1451</w:t>
              </w:r>
            </w:hyperlink>
          </w:p>
        </w:tc>
        <w:tc>
          <w:tcPr>
            <w:tcW w:w="0" w:type="auto"/>
            <w:shd w:val="clear" w:color="auto" w:fill="auto"/>
            <w:vAlign w:val="center"/>
            <w:hideMark/>
          </w:tcPr>
          <w:p w:rsidR="0087313D" w:rsidRPr="005B08EC" w:rsidRDefault="0087313D" w:rsidP="00F25C3A">
            <w:r w:rsidRPr="005B08EC">
              <w:t>49.15%</w:t>
            </w:r>
          </w:p>
        </w:tc>
      </w:tr>
      <w:tr w:rsidR="0087313D" w:rsidRPr="005B08EC" w:rsidTr="00F25C3A">
        <w:trPr>
          <w:jc w:val="center"/>
        </w:trPr>
        <w:tc>
          <w:tcPr>
            <w:tcW w:w="0" w:type="auto"/>
            <w:shd w:val="clear" w:color="auto" w:fill="auto"/>
            <w:vAlign w:val="center"/>
            <w:hideMark/>
          </w:tcPr>
          <w:p w:rsidR="0087313D" w:rsidRPr="005B08EC" w:rsidRDefault="0087313D" w:rsidP="00F25C3A">
            <w:pPr>
              <w:rPr>
                <w:lang w:val="en-US"/>
              </w:rPr>
            </w:pPr>
            <w:r w:rsidRPr="005B08EC">
              <w:rPr>
                <w:lang w:val="en-US"/>
              </w:rPr>
              <w:t>not connected to KEGG Orthology (KO)</w:t>
            </w:r>
          </w:p>
        </w:tc>
        <w:tc>
          <w:tcPr>
            <w:tcW w:w="0" w:type="auto"/>
            <w:shd w:val="clear" w:color="auto" w:fill="auto"/>
            <w:vAlign w:val="center"/>
            <w:hideMark/>
          </w:tcPr>
          <w:p w:rsidR="0087313D" w:rsidRPr="005B08EC" w:rsidRDefault="00A0198C" w:rsidP="00F25C3A">
            <w:hyperlink r:id="rId31" w:history="1">
              <w:r w:rsidR="0087313D" w:rsidRPr="002E0812">
                <w:rPr>
                  <w:rStyle w:val="Hyperlink"/>
                  <w:color w:val="auto"/>
                  <w:u w:val="none"/>
                </w:rPr>
                <w:t>1422</w:t>
              </w:r>
            </w:hyperlink>
          </w:p>
        </w:tc>
        <w:tc>
          <w:tcPr>
            <w:tcW w:w="0" w:type="auto"/>
            <w:shd w:val="clear" w:color="auto" w:fill="auto"/>
            <w:vAlign w:val="center"/>
            <w:hideMark/>
          </w:tcPr>
          <w:p w:rsidR="0087313D" w:rsidRPr="005B08EC" w:rsidRDefault="0087313D" w:rsidP="00F25C3A">
            <w:r w:rsidRPr="005B08EC">
              <w:t>48.17%</w:t>
            </w:r>
          </w:p>
        </w:tc>
      </w:tr>
      <w:tr w:rsidR="0087313D" w:rsidRPr="005B08EC" w:rsidTr="00F25C3A">
        <w:trPr>
          <w:jc w:val="center"/>
        </w:trPr>
        <w:tc>
          <w:tcPr>
            <w:tcW w:w="0" w:type="auto"/>
            <w:shd w:val="clear" w:color="auto" w:fill="auto"/>
            <w:vAlign w:val="center"/>
            <w:hideMark/>
          </w:tcPr>
          <w:p w:rsidR="0087313D" w:rsidRPr="005B08EC" w:rsidRDefault="0087313D" w:rsidP="00F25C3A">
            <w:pPr>
              <w:rPr>
                <w:lang w:val="en-US"/>
              </w:rPr>
            </w:pPr>
            <w:r w:rsidRPr="005B08EC">
              <w:rPr>
                <w:lang w:val="en-US"/>
              </w:rPr>
              <w:t>Protein coding genes connected to MetaCyc pathways</w:t>
            </w:r>
          </w:p>
        </w:tc>
        <w:tc>
          <w:tcPr>
            <w:tcW w:w="0" w:type="auto"/>
            <w:shd w:val="clear" w:color="auto" w:fill="auto"/>
            <w:vAlign w:val="center"/>
            <w:hideMark/>
          </w:tcPr>
          <w:p w:rsidR="0087313D" w:rsidRPr="005B08EC" w:rsidRDefault="00A0198C" w:rsidP="00F25C3A">
            <w:hyperlink r:id="rId32" w:history="1">
              <w:r w:rsidR="0087313D" w:rsidRPr="002E0812">
                <w:rPr>
                  <w:rStyle w:val="Hyperlink"/>
                  <w:color w:val="auto"/>
                  <w:u w:val="none"/>
                </w:rPr>
                <w:t>719</w:t>
              </w:r>
            </w:hyperlink>
          </w:p>
        </w:tc>
        <w:tc>
          <w:tcPr>
            <w:tcW w:w="0" w:type="auto"/>
            <w:shd w:val="clear" w:color="auto" w:fill="auto"/>
            <w:vAlign w:val="center"/>
            <w:hideMark/>
          </w:tcPr>
          <w:p w:rsidR="0087313D" w:rsidRPr="005B08EC" w:rsidRDefault="0087313D" w:rsidP="00F25C3A">
            <w:r w:rsidRPr="005B08EC">
              <w:t>24.36%</w:t>
            </w:r>
          </w:p>
        </w:tc>
      </w:tr>
      <w:tr w:rsidR="0087313D" w:rsidRPr="005B08EC" w:rsidTr="00F25C3A">
        <w:trPr>
          <w:jc w:val="center"/>
        </w:trPr>
        <w:tc>
          <w:tcPr>
            <w:tcW w:w="0" w:type="auto"/>
            <w:shd w:val="clear" w:color="auto" w:fill="auto"/>
            <w:vAlign w:val="center"/>
            <w:hideMark/>
          </w:tcPr>
          <w:p w:rsidR="0087313D" w:rsidRPr="005B08EC" w:rsidRDefault="0087313D" w:rsidP="00F25C3A">
            <w:pPr>
              <w:rPr>
                <w:lang w:val="en-US"/>
              </w:rPr>
            </w:pPr>
            <w:r w:rsidRPr="005B08EC">
              <w:rPr>
                <w:lang w:val="en-US"/>
              </w:rPr>
              <w:t>not connected to MetaCyc pathways</w:t>
            </w:r>
          </w:p>
        </w:tc>
        <w:tc>
          <w:tcPr>
            <w:tcW w:w="0" w:type="auto"/>
            <w:shd w:val="clear" w:color="auto" w:fill="auto"/>
            <w:vAlign w:val="center"/>
            <w:hideMark/>
          </w:tcPr>
          <w:p w:rsidR="0087313D" w:rsidRPr="005B08EC" w:rsidRDefault="00A0198C" w:rsidP="00F25C3A">
            <w:hyperlink r:id="rId33" w:history="1">
              <w:r w:rsidR="0087313D" w:rsidRPr="002E0812">
                <w:rPr>
                  <w:rStyle w:val="Hyperlink"/>
                  <w:color w:val="auto"/>
                  <w:u w:val="none"/>
                </w:rPr>
                <w:t>2154</w:t>
              </w:r>
            </w:hyperlink>
          </w:p>
        </w:tc>
        <w:tc>
          <w:tcPr>
            <w:tcW w:w="0" w:type="auto"/>
            <w:shd w:val="clear" w:color="auto" w:fill="auto"/>
            <w:vAlign w:val="center"/>
            <w:hideMark/>
          </w:tcPr>
          <w:p w:rsidR="0087313D" w:rsidRPr="005B08EC" w:rsidRDefault="0087313D" w:rsidP="00F25C3A">
            <w:r w:rsidRPr="005B08EC">
              <w:t>72.97%</w:t>
            </w:r>
          </w:p>
        </w:tc>
      </w:tr>
      <w:tr w:rsidR="0087313D" w:rsidRPr="005B08EC" w:rsidTr="00F25C3A">
        <w:trPr>
          <w:jc w:val="center"/>
        </w:trPr>
        <w:tc>
          <w:tcPr>
            <w:tcW w:w="0" w:type="auto"/>
            <w:shd w:val="clear" w:color="auto" w:fill="auto"/>
            <w:vAlign w:val="center"/>
            <w:hideMark/>
          </w:tcPr>
          <w:p w:rsidR="0087313D" w:rsidRPr="005B08EC" w:rsidRDefault="0087313D" w:rsidP="00F25C3A">
            <w:pPr>
              <w:rPr>
                <w:lang w:val="en-US"/>
              </w:rPr>
            </w:pPr>
            <w:r w:rsidRPr="005B08EC">
              <w:rPr>
                <w:lang w:val="en-US"/>
              </w:rPr>
              <w:t>Protein coding genes with COGs3</w:t>
            </w:r>
          </w:p>
        </w:tc>
        <w:tc>
          <w:tcPr>
            <w:tcW w:w="0" w:type="auto"/>
            <w:shd w:val="clear" w:color="auto" w:fill="auto"/>
            <w:vAlign w:val="center"/>
            <w:hideMark/>
          </w:tcPr>
          <w:p w:rsidR="0087313D" w:rsidRPr="005B08EC" w:rsidRDefault="00A0198C" w:rsidP="00F25C3A">
            <w:hyperlink r:id="rId34" w:history="1">
              <w:r w:rsidR="0087313D" w:rsidRPr="002E0812">
                <w:rPr>
                  <w:rStyle w:val="Hyperlink"/>
                  <w:color w:val="auto"/>
                  <w:u w:val="none"/>
                </w:rPr>
                <w:t>1656</w:t>
              </w:r>
            </w:hyperlink>
          </w:p>
        </w:tc>
        <w:tc>
          <w:tcPr>
            <w:tcW w:w="0" w:type="auto"/>
            <w:shd w:val="clear" w:color="auto" w:fill="auto"/>
            <w:vAlign w:val="center"/>
            <w:hideMark/>
          </w:tcPr>
          <w:p w:rsidR="0087313D" w:rsidRPr="005B08EC" w:rsidRDefault="0087313D" w:rsidP="00F25C3A">
            <w:r w:rsidRPr="005B08EC">
              <w:t>56.10%</w:t>
            </w:r>
          </w:p>
        </w:tc>
      </w:tr>
      <w:tr w:rsidR="0087313D" w:rsidRPr="005B08EC" w:rsidTr="00F25C3A">
        <w:trPr>
          <w:jc w:val="center"/>
        </w:trPr>
        <w:tc>
          <w:tcPr>
            <w:tcW w:w="0" w:type="auto"/>
            <w:shd w:val="clear" w:color="auto" w:fill="auto"/>
            <w:vAlign w:val="center"/>
            <w:hideMark/>
          </w:tcPr>
          <w:p w:rsidR="0087313D" w:rsidRPr="005B08EC" w:rsidRDefault="0087313D" w:rsidP="00F25C3A">
            <w:r w:rsidRPr="005B08EC">
              <w:t>with KOGs3</w:t>
            </w:r>
          </w:p>
        </w:tc>
        <w:tc>
          <w:tcPr>
            <w:tcW w:w="0" w:type="auto"/>
            <w:shd w:val="clear" w:color="auto" w:fill="auto"/>
            <w:vAlign w:val="center"/>
            <w:hideMark/>
          </w:tcPr>
          <w:p w:rsidR="0087313D" w:rsidRPr="005B08EC" w:rsidRDefault="00A0198C" w:rsidP="00F25C3A">
            <w:hyperlink r:id="rId35" w:history="1">
              <w:r w:rsidR="0087313D" w:rsidRPr="002E0812">
                <w:rPr>
                  <w:rStyle w:val="Hyperlink"/>
                  <w:color w:val="auto"/>
                  <w:u w:val="none"/>
                </w:rPr>
                <w:t>415</w:t>
              </w:r>
            </w:hyperlink>
          </w:p>
        </w:tc>
        <w:tc>
          <w:tcPr>
            <w:tcW w:w="0" w:type="auto"/>
            <w:shd w:val="clear" w:color="auto" w:fill="auto"/>
            <w:vAlign w:val="center"/>
            <w:hideMark/>
          </w:tcPr>
          <w:p w:rsidR="0087313D" w:rsidRPr="005B08EC" w:rsidRDefault="0087313D" w:rsidP="00F25C3A">
            <w:r w:rsidRPr="005B08EC">
              <w:t>14.06%</w:t>
            </w:r>
          </w:p>
        </w:tc>
      </w:tr>
      <w:tr w:rsidR="0087313D" w:rsidRPr="005B08EC" w:rsidTr="00F25C3A">
        <w:trPr>
          <w:jc w:val="center"/>
        </w:trPr>
        <w:tc>
          <w:tcPr>
            <w:tcW w:w="0" w:type="auto"/>
            <w:shd w:val="clear" w:color="auto" w:fill="auto"/>
            <w:vAlign w:val="center"/>
            <w:hideMark/>
          </w:tcPr>
          <w:p w:rsidR="0087313D" w:rsidRPr="005B08EC" w:rsidRDefault="0087313D" w:rsidP="00F25C3A">
            <w:r w:rsidRPr="005B08EC">
              <w:t>with Pfam3</w:t>
            </w:r>
          </w:p>
        </w:tc>
        <w:tc>
          <w:tcPr>
            <w:tcW w:w="0" w:type="auto"/>
            <w:shd w:val="clear" w:color="auto" w:fill="auto"/>
            <w:vAlign w:val="center"/>
            <w:hideMark/>
          </w:tcPr>
          <w:p w:rsidR="0087313D" w:rsidRPr="005B08EC" w:rsidRDefault="00A0198C" w:rsidP="00F25C3A">
            <w:hyperlink r:id="rId36" w:history="1">
              <w:r w:rsidR="0087313D" w:rsidRPr="002E0812">
                <w:rPr>
                  <w:rStyle w:val="Hyperlink"/>
                  <w:color w:val="auto"/>
                  <w:u w:val="none"/>
                </w:rPr>
                <w:t>2288</w:t>
              </w:r>
            </w:hyperlink>
          </w:p>
        </w:tc>
        <w:tc>
          <w:tcPr>
            <w:tcW w:w="0" w:type="auto"/>
            <w:shd w:val="clear" w:color="auto" w:fill="auto"/>
            <w:vAlign w:val="center"/>
            <w:hideMark/>
          </w:tcPr>
          <w:p w:rsidR="0087313D" w:rsidRPr="005B08EC" w:rsidRDefault="0087313D" w:rsidP="00F25C3A">
            <w:r w:rsidRPr="005B08EC">
              <w:t>77.51%</w:t>
            </w:r>
          </w:p>
        </w:tc>
      </w:tr>
      <w:tr w:rsidR="0087313D" w:rsidRPr="005B08EC" w:rsidTr="00F25C3A">
        <w:trPr>
          <w:jc w:val="center"/>
        </w:trPr>
        <w:tc>
          <w:tcPr>
            <w:tcW w:w="0" w:type="auto"/>
            <w:shd w:val="clear" w:color="auto" w:fill="auto"/>
            <w:vAlign w:val="center"/>
            <w:hideMark/>
          </w:tcPr>
          <w:p w:rsidR="0087313D" w:rsidRPr="005B08EC" w:rsidRDefault="0087313D" w:rsidP="00F25C3A">
            <w:r w:rsidRPr="005B08EC">
              <w:t>with TIGRfam3</w:t>
            </w:r>
          </w:p>
        </w:tc>
        <w:tc>
          <w:tcPr>
            <w:tcW w:w="0" w:type="auto"/>
            <w:shd w:val="clear" w:color="auto" w:fill="auto"/>
            <w:vAlign w:val="center"/>
            <w:hideMark/>
          </w:tcPr>
          <w:p w:rsidR="0087313D" w:rsidRPr="005B08EC" w:rsidRDefault="00A0198C" w:rsidP="00F25C3A">
            <w:hyperlink r:id="rId37" w:history="1">
              <w:r w:rsidR="0087313D" w:rsidRPr="002E0812">
                <w:rPr>
                  <w:rStyle w:val="Hyperlink"/>
                  <w:color w:val="auto"/>
                  <w:u w:val="none"/>
                </w:rPr>
                <w:t>1022</w:t>
              </w:r>
            </w:hyperlink>
          </w:p>
        </w:tc>
        <w:tc>
          <w:tcPr>
            <w:tcW w:w="0" w:type="auto"/>
            <w:shd w:val="clear" w:color="auto" w:fill="auto"/>
            <w:vAlign w:val="center"/>
            <w:hideMark/>
          </w:tcPr>
          <w:p w:rsidR="0087313D" w:rsidRPr="005B08EC" w:rsidRDefault="0087313D" w:rsidP="00F25C3A">
            <w:r w:rsidRPr="005B08EC">
              <w:t>34.62%</w:t>
            </w:r>
          </w:p>
        </w:tc>
      </w:tr>
      <w:tr w:rsidR="0087313D" w:rsidRPr="005B08EC" w:rsidTr="00F25C3A">
        <w:trPr>
          <w:jc w:val="center"/>
        </w:trPr>
        <w:tc>
          <w:tcPr>
            <w:tcW w:w="0" w:type="auto"/>
            <w:shd w:val="clear" w:color="auto" w:fill="auto"/>
            <w:vAlign w:val="center"/>
            <w:hideMark/>
          </w:tcPr>
          <w:p w:rsidR="0087313D" w:rsidRPr="005B08EC" w:rsidRDefault="0087313D" w:rsidP="00F25C3A">
            <w:r w:rsidRPr="005B08EC">
              <w:t>with InterPro</w:t>
            </w:r>
          </w:p>
        </w:tc>
        <w:tc>
          <w:tcPr>
            <w:tcW w:w="0" w:type="auto"/>
            <w:shd w:val="clear" w:color="auto" w:fill="auto"/>
            <w:vAlign w:val="center"/>
            <w:hideMark/>
          </w:tcPr>
          <w:p w:rsidR="0087313D" w:rsidRPr="005B08EC" w:rsidRDefault="00A0198C" w:rsidP="00F25C3A">
            <w:hyperlink r:id="rId38" w:history="1">
              <w:r w:rsidR="0087313D" w:rsidRPr="002E0812">
                <w:rPr>
                  <w:rStyle w:val="Hyperlink"/>
                  <w:color w:val="auto"/>
                  <w:u w:val="none"/>
                </w:rPr>
                <w:t>1477</w:t>
              </w:r>
            </w:hyperlink>
          </w:p>
        </w:tc>
        <w:tc>
          <w:tcPr>
            <w:tcW w:w="0" w:type="auto"/>
            <w:shd w:val="clear" w:color="auto" w:fill="auto"/>
            <w:vAlign w:val="center"/>
            <w:hideMark/>
          </w:tcPr>
          <w:p w:rsidR="0087313D" w:rsidRPr="005B08EC" w:rsidRDefault="0087313D" w:rsidP="00F25C3A">
            <w:r w:rsidRPr="005B08EC">
              <w:t>50.03%</w:t>
            </w:r>
          </w:p>
        </w:tc>
      </w:tr>
      <w:tr w:rsidR="0087313D" w:rsidRPr="005B08EC" w:rsidTr="00F25C3A">
        <w:trPr>
          <w:jc w:val="center"/>
        </w:trPr>
        <w:tc>
          <w:tcPr>
            <w:tcW w:w="0" w:type="auto"/>
            <w:shd w:val="clear" w:color="auto" w:fill="auto"/>
            <w:vAlign w:val="center"/>
            <w:hideMark/>
          </w:tcPr>
          <w:p w:rsidR="0087313D" w:rsidRPr="005B08EC" w:rsidRDefault="0087313D" w:rsidP="00F25C3A">
            <w:r w:rsidRPr="005B08EC">
              <w:t>with IMG Terms</w:t>
            </w:r>
          </w:p>
        </w:tc>
        <w:tc>
          <w:tcPr>
            <w:tcW w:w="0" w:type="auto"/>
            <w:shd w:val="clear" w:color="auto" w:fill="auto"/>
            <w:vAlign w:val="center"/>
            <w:hideMark/>
          </w:tcPr>
          <w:p w:rsidR="0087313D" w:rsidRPr="005B08EC" w:rsidRDefault="00A0198C" w:rsidP="00F25C3A">
            <w:hyperlink r:id="rId39" w:history="1">
              <w:r w:rsidR="0087313D" w:rsidRPr="002E0812">
                <w:rPr>
                  <w:rStyle w:val="Hyperlink"/>
                  <w:color w:val="auto"/>
                  <w:u w:val="none"/>
                </w:rPr>
                <w:t>321</w:t>
              </w:r>
            </w:hyperlink>
          </w:p>
        </w:tc>
        <w:tc>
          <w:tcPr>
            <w:tcW w:w="0" w:type="auto"/>
            <w:shd w:val="clear" w:color="auto" w:fill="auto"/>
            <w:vAlign w:val="center"/>
            <w:hideMark/>
          </w:tcPr>
          <w:p w:rsidR="0087313D" w:rsidRPr="005B08EC" w:rsidRDefault="0087313D" w:rsidP="00F25C3A">
            <w:r w:rsidRPr="005B08EC">
              <w:t>10.87%</w:t>
            </w:r>
          </w:p>
        </w:tc>
      </w:tr>
      <w:tr w:rsidR="0087313D" w:rsidRPr="005B08EC" w:rsidTr="00F25C3A">
        <w:trPr>
          <w:jc w:val="center"/>
        </w:trPr>
        <w:tc>
          <w:tcPr>
            <w:tcW w:w="0" w:type="auto"/>
            <w:shd w:val="clear" w:color="auto" w:fill="auto"/>
            <w:vAlign w:val="center"/>
            <w:hideMark/>
          </w:tcPr>
          <w:p w:rsidR="0087313D" w:rsidRPr="005B08EC" w:rsidRDefault="0087313D" w:rsidP="00F25C3A">
            <w:r w:rsidRPr="005B08EC">
              <w:t>with IMG Pathways</w:t>
            </w:r>
          </w:p>
        </w:tc>
        <w:tc>
          <w:tcPr>
            <w:tcW w:w="0" w:type="auto"/>
            <w:shd w:val="clear" w:color="auto" w:fill="auto"/>
            <w:vAlign w:val="center"/>
            <w:hideMark/>
          </w:tcPr>
          <w:p w:rsidR="0087313D" w:rsidRPr="005B08EC" w:rsidRDefault="00A0198C" w:rsidP="00F25C3A">
            <w:hyperlink r:id="rId40" w:history="1">
              <w:r w:rsidR="0087313D" w:rsidRPr="002E0812">
                <w:rPr>
                  <w:rStyle w:val="Hyperlink"/>
                  <w:color w:val="auto"/>
                  <w:u w:val="none"/>
                </w:rPr>
                <w:t>150</w:t>
              </w:r>
            </w:hyperlink>
          </w:p>
        </w:tc>
        <w:tc>
          <w:tcPr>
            <w:tcW w:w="0" w:type="auto"/>
            <w:shd w:val="clear" w:color="auto" w:fill="auto"/>
            <w:vAlign w:val="center"/>
            <w:hideMark/>
          </w:tcPr>
          <w:p w:rsidR="0087313D" w:rsidRPr="005B08EC" w:rsidRDefault="0087313D" w:rsidP="00F25C3A">
            <w:r w:rsidRPr="005B08EC">
              <w:t>5.08%</w:t>
            </w:r>
          </w:p>
        </w:tc>
      </w:tr>
      <w:tr w:rsidR="0087313D" w:rsidRPr="005B08EC" w:rsidTr="00F25C3A">
        <w:trPr>
          <w:jc w:val="center"/>
        </w:trPr>
        <w:tc>
          <w:tcPr>
            <w:tcW w:w="0" w:type="auto"/>
            <w:shd w:val="clear" w:color="auto" w:fill="auto"/>
            <w:vAlign w:val="center"/>
            <w:hideMark/>
          </w:tcPr>
          <w:p w:rsidR="0087313D" w:rsidRPr="005B08EC" w:rsidRDefault="0087313D" w:rsidP="00F25C3A">
            <w:r w:rsidRPr="005B08EC">
              <w:t>with IMG Parts List</w:t>
            </w:r>
          </w:p>
        </w:tc>
        <w:tc>
          <w:tcPr>
            <w:tcW w:w="0" w:type="auto"/>
            <w:shd w:val="clear" w:color="auto" w:fill="auto"/>
            <w:vAlign w:val="center"/>
            <w:hideMark/>
          </w:tcPr>
          <w:p w:rsidR="0087313D" w:rsidRPr="005B08EC" w:rsidRDefault="00A0198C" w:rsidP="00F25C3A">
            <w:hyperlink r:id="rId41" w:history="1">
              <w:r w:rsidR="0087313D" w:rsidRPr="002E0812">
                <w:rPr>
                  <w:rStyle w:val="Hyperlink"/>
                  <w:color w:val="auto"/>
                  <w:u w:val="none"/>
                </w:rPr>
                <w:t>120</w:t>
              </w:r>
            </w:hyperlink>
          </w:p>
        </w:tc>
        <w:tc>
          <w:tcPr>
            <w:tcW w:w="0" w:type="auto"/>
            <w:shd w:val="clear" w:color="auto" w:fill="auto"/>
            <w:vAlign w:val="center"/>
            <w:hideMark/>
          </w:tcPr>
          <w:p w:rsidR="0087313D" w:rsidRPr="005B08EC" w:rsidRDefault="0087313D" w:rsidP="00F25C3A">
            <w:r w:rsidRPr="005B08EC">
              <w:t>4.07%</w:t>
            </w:r>
          </w:p>
        </w:tc>
      </w:tr>
      <w:tr w:rsidR="0087313D" w:rsidRPr="005B08EC" w:rsidTr="00F25C3A">
        <w:trPr>
          <w:jc w:val="center"/>
        </w:trPr>
        <w:tc>
          <w:tcPr>
            <w:tcW w:w="0" w:type="auto"/>
            <w:shd w:val="clear" w:color="auto" w:fill="auto"/>
            <w:vAlign w:val="center"/>
            <w:hideMark/>
          </w:tcPr>
          <w:p w:rsidR="0087313D" w:rsidRPr="005B08EC" w:rsidRDefault="0087313D" w:rsidP="00F25C3A">
            <w:r w:rsidRPr="005B08EC">
              <w:t>in internal clusters</w:t>
            </w:r>
          </w:p>
        </w:tc>
        <w:tc>
          <w:tcPr>
            <w:tcW w:w="0" w:type="auto"/>
            <w:shd w:val="clear" w:color="auto" w:fill="auto"/>
            <w:vAlign w:val="center"/>
            <w:hideMark/>
          </w:tcPr>
          <w:p w:rsidR="0087313D" w:rsidRPr="005B08EC" w:rsidRDefault="00A0198C" w:rsidP="00F25C3A">
            <w:hyperlink r:id="rId42" w:history="1">
              <w:r w:rsidR="0087313D" w:rsidRPr="002E0812">
                <w:rPr>
                  <w:rStyle w:val="Hyperlink"/>
                  <w:color w:val="auto"/>
                  <w:u w:val="none"/>
                </w:rPr>
                <w:t>416</w:t>
              </w:r>
            </w:hyperlink>
          </w:p>
        </w:tc>
        <w:tc>
          <w:tcPr>
            <w:tcW w:w="0" w:type="auto"/>
            <w:shd w:val="clear" w:color="auto" w:fill="auto"/>
            <w:vAlign w:val="center"/>
            <w:hideMark/>
          </w:tcPr>
          <w:p w:rsidR="0087313D" w:rsidRPr="005B08EC" w:rsidRDefault="0087313D" w:rsidP="00F25C3A">
            <w:r w:rsidRPr="005B08EC">
              <w:t>14.09%</w:t>
            </w:r>
          </w:p>
        </w:tc>
      </w:tr>
      <w:tr w:rsidR="0087313D" w:rsidRPr="005B08EC" w:rsidTr="00F25C3A">
        <w:trPr>
          <w:jc w:val="center"/>
        </w:trPr>
        <w:tc>
          <w:tcPr>
            <w:tcW w:w="0" w:type="auto"/>
            <w:shd w:val="clear" w:color="auto" w:fill="auto"/>
            <w:vAlign w:val="center"/>
            <w:hideMark/>
          </w:tcPr>
          <w:p w:rsidR="0087313D" w:rsidRPr="005B08EC" w:rsidRDefault="0087313D" w:rsidP="00F25C3A">
            <w:r w:rsidRPr="005B08EC">
              <w:t>in Chromosomal Cassette</w:t>
            </w:r>
          </w:p>
        </w:tc>
        <w:tc>
          <w:tcPr>
            <w:tcW w:w="0" w:type="auto"/>
            <w:shd w:val="clear" w:color="auto" w:fill="auto"/>
            <w:vAlign w:val="center"/>
            <w:hideMark/>
          </w:tcPr>
          <w:p w:rsidR="0087313D" w:rsidRPr="005B08EC" w:rsidRDefault="00A0198C" w:rsidP="00F25C3A">
            <w:hyperlink r:id="rId43" w:history="1">
              <w:r w:rsidR="0087313D" w:rsidRPr="002E0812">
                <w:rPr>
                  <w:rStyle w:val="Hyperlink"/>
                  <w:color w:val="auto"/>
                  <w:u w:val="none"/>
                </w:rPr>
                <w:t>2776</w:t>
              </w:r>
            </w:hyperlink>
          </w:p>
        </w:tc>
        <w:tc>
          <w:tcPr>
            <w:tcW w:w="0" w:type="auto"/>
            <w:shd w:val="clear" w:color="auto" w:fill="auto"/>
            <w:vAlign w:val="center"/>
            <w:hideMark/>
          </w:tcPr>
          <w:p w:rsidR="0087313D" w:rsidRPr="005B08EC" w:rsidRDefault="0087313D" w:rsidP="00F25C3A">
            <w:r w:rsidRPr="005B08EC">
              <w:t>94.04%</w:t>
            </w:r>
          </w:p>
        </w:tc>
      </w:tr>
      <w:tr w:rsidR="0087313D" w:rsidRPr="005B08EC" w:rsidTr="00F25C3A">
        <w:trPr>
          <w:jc w:val="center"/>
        </w:trPr>
        <w:tc>
          <w:tcPr>
            <w:tcW w:w="0" w:type="auto"/>
            <w:shd w:val="clear" w:color="auto" w:fill="auto"/>
            <w:vAlign w:val="center"/>
            <w:hideMark/>
          </w:tcPr>
          <w:p w:rsidR="0087313D" w:rsidRPr="005B08EC" w:rsidRDefault="0087313D" w:rsidP="00F25C3A">
            <w:r w:rsidRPr="005B08EC">
              <w:t>Chromosomal Cassettes</w:t>
            </w:r>
          </w:p>
        </w:tc>
        <w:tc>
          <w:tcPr>
            <w:tcW w:w="0" w:type="auto"/>
            <w:shd w:val="clear" w:color="auto" w:fill="auto"/>
            <w:vAlign w:val="center"/>
            <w:hideMark/>
          </w:tcPr>
          <w:p w:rsidR="0087313D" w:rsidRPr="005B08EC" w:rsidRDefault="00A0198C" w:rsidP="00F25C3A">
            <w:hyperlink r:id="rId44" w:history="1">
              <w:r w:rsidR="0087313D" w:rsidRPr="002E0812">
                <w:rPr>
                  <w:rStyle w:val="Hyperlink"/>
                  <w:color w:val="auto"/>
                  <w:u w:val="none"/>
                </w:rPr>
                <w:t>529</w:t>
              </w:r>
            </w:hyperlink>
          </w:p>
        </w:tc>
        <w:tc>
          <w:tcPr>
            <w:tcW w:w="0" w:type="auto"/>
            <w:shd w:val="clear" w:color="auto" w:fill="auto"/>
            <w:vAlign w:val="center"/>
            <w:hideMark/>
          </w:tcPr>
          <w:p w:rsidR="0087313D" w:rsidRPr="005B08EC" w:rsidRDefault="0087313D" w:rsidP="00F25C3A">
            <w:r w:rsidRPr="005B08EC">
              <w:t>-</w:t>
            </w:r>
          </w:p>
        </w:tc>
      </w:tr>
      <w:tr w:rsidR="0087313D" w:rsidRPr="005B08EC" w:rsidTr="00F25C3A">
        <w:trPr>
          <w:jc w:val="center"/>
        </w:trPr>
        <w:tc>
          <w:tcPr>
            <w:tcW w:w="0" w:type="auto"/>
            <w:shd w:val="clear" w:color="auto" w:fill="auto"/>
            <w:vAlign w:val="center"/>
            <w:hideMark/>
          </w:tcPr>
          <w:p w:rsidR="0087313D" w:rsidRPr="005B08EC" w:rsidRDefault="0087313D" w:rsidP="00F25C3A">
            <w:r w:rsidRPr="005B08EC">
              <w:t>Biosynthetic Clusters</w:t>
            </w:r>
          </w:p>
        </w:tc>
        <w:tc>
          <w:tcPr>
            <w:tcW w:w="0" w:type="auto"/>
            <w:shd w:val="clear" w:color="auto" w:fill="auto"/>
            <w:vAlign w:val="center"/>
            <w:hideMark/>
          </w:tcPr>
          <w:p w:rsidR="0087313D" w:rsidRPr="005B08EC" w:rsidRDefault="00A0198C" w:rsidP="00F25C3A">
            <w:hyperlink r:id="rId45" w:history="1">
              <w:r w:rsidR="0087313D" w:rsidRPr="002E0812">
                <w:rPr>
                  <w:rStyle w:val="Hyperlink"/>
                  <w:color w:val="auto"/>
                  <w:u w:val="none"/>
                </w:rPr>
                <w:t>10</w:t>
              </w:r>
            </w:hyperlink>
          </w:p>
        </w:tc>
        <w:tc>
          <w:tcPr>
            <w:tcW w:w="0" w:type="auto"/>
            <w:shd w:val="clear" w:color="auto" w:fill="auto"/>
            <w:vAlign w:val="center"/>
            <w:hideMark/>
          </w:tcPr>
          <w:p w:rsidR="0087313D" w:rsidRPr="005B08EC" w:rsidRDefault="0087313D" w:rsidP="00F25C3A">
            <w:r w:rsidRPr="005B08EC">
              <w:t>-</w:t>
            </w:r>
          </w:p>
        </w:tc>
      </w:tr>
      <w:tr w:rsidR="0087313D" w:rsidRPr="005B08EC" w:rsidTr="00F25C3A">
        <w:trPr>
          <w:jc w:val="center"/>
        </w:trPr>
        <w:tc>
          <w:tcPr>
            <w:tcW w:w="0" w:type="auto"/>
            <w:shd w:val="clear" w:color="auto" w:fill="auto"/>
            <w:vAlign w:val="center"/>
            <w:hideMark/>
          </w:tcPr>
          <w:p w:rsidR="0087313D" w:rsidRPr="005B08EC" w:rsidRDefault="0087313D" w:rsidP="00F25C3A">
            <w:r w:rsidRPr="005B08EC">
              <w:t>Genes in Biosynthetic Clusters</w:t>
            </w:r>
          </w:p>
        </w:tc>
        <w:tc>
          <w:tcPr>
            <w:tcW w:w="0" w:type="auto"/>
            <w:shd w:val="clear" w:color="auto" w:fill="auto"/>
            <w:vAlign w:val="center"/>
            <w:hideMark/>
          </w:tcPr>
          <w:p w:rsidR="0087313D" w:rsidRPr="005B08EC" w:rsidRDefault="00A0198C" w:rsidP="00F25C3A">
            <w:hyperlink r:id="rId46" w:history="1">
              <w:r w:rsidR="0087313D" w:rsidRPr="002E0812">
                <w:rPr>
                  <w:rStyle w:val="Hyperlink"/>
                  <w:color w:val="auto"/>
                  <w:u w:val="none"/>
                </w:rPr>
                <w:t>110</w:t>
              </w:r>
            </w:hyperlink>
          </w:p>
        </w:tc>
        <w:tc>
          <w:tcPr>
            <w:tcW w:w="0" w:type="auto"/>
            <w:shd w:val="clear" w:color="auto" w:fill="auto"/>
            <w:vAlign w:val="center"/>
            <w:hideMark/>
          </w:tcPr>
          <w:p w:rsidR="0087313D" w:rsidRPr="005B08EC" w:rsidRDefault="0087313D" w:rsidP="00F25C3A">
            <w:r w:rsidRPr="005B08EC">
              <w:t>3.73%</w:t>
            </w:r>
          </w:p>
        </w:tc>
      </w:tr>
      <w:tr w:rsidR="0087313D" w:rsidRPr="005B08EC" w:rsidTr="00F25C3A">
        <w:trPr>
          <w:jc w:val="center"/>
        </w:trPr>
        <w:tc>
          <w:tcPr>
            <w:tcW w:w="0" w:type="auto"/>
            <w:shd w:val="clear" w:color="auto" w:fill="auto"/>
            <w:vAlign w:val="center"/>
            <w:hideMark/>
          </w:tcPr>
          <w:p w:rsidR="0087313D" w:rsidRPr="005B08EC" w:rsidRDefault="0087313D" w:rsidP="00F25C3A">
            <w:r w:rsidRPr="005B08EC">
              <w:t>Fused Protein coding genes</w:t>
            </w:r>
          </w:p>
        </w:tc>
        <w:tc>
          <w:tcPr>
            <w:tcW w:w="0" w:type="auto"/>
            <w:shd w:val="clear" w:color="auto" w:fill="auto"/>
            <w:vAlign w:val="center"/>
            <w:hideMark/>
          </w:tcPr>
          <w:p w:rsidR="0087313D" w:rsidRPr="005B08EC" w:rsidRDefault="00A0198C" w:rsidP="00F25C3A">
            <w:hyperlink r:id="rId47" w:history="1">
              <w:r w:rsidR="0087313D" w:rsidRPr="002E0812">
                <w:rPr>
                  <w:rStyle w:val="Hyperlink"/>
                  <w:color w:val="auto"/>
                  <w:u w:val="none"/>
                </w:rPr>
                <w:t>69</w:t>
              </w:r>
            </w:hyperlink>
          </w:p>
        </w:tc>
        <w:tc>
          <w:tcPr>
            <w:tcW w:w="0" w:type="auto"/>
            <w:shd w:val="clear" w:color="auto" w:fill="auto"/>
            <w:vAlign w:val="center"/>
            <w:hideMark/>
          </w:tcPr>
          <w:p w:rsidR="0087313D" w:rsidRPr="005B08EC" w:rsidRDefault="0087313D" w:rsidP="00F25C3A">
            <w:r w:rsidRPr="005B08EC">
              <w:t>2.34%</w:t>
            </w:r>
          </w:p>
        </w:tc>
      </w:tr>
      <w:tr w:rsidR="0087313D" w:rsidRPr="005B08EC" w:rsidTr="00F25C3A">
        <w:trPr>
          <w:jc w:val="center"/>
        </w:trPr>
        <w:tc>
          <w:tcPr>
            <w:tcW w:w="0" w:type="auto"/>
            <w:shd w:val="clear" w:color="auto" w:fill="auto"/>
            <w:vAlign w:val="center"/>
            <w:hideMark/>
          </w:tcPr>
          <w:p w:rsidR="0087313D" w:rsidRPr="005B08EC" w:rsidRDefault="0087313D" w:rsidP="00F25C3A">
            <w:pPr>
              <w:rPr>
                <w:lang w:val="en-US"/>
              </w:rPr>
            </w:pPr>
            <w:r w:rsidRPr="005B08EC">
              <w:rPr>
                <w:lang w:val="en-US"/>
              </w:rPr>
              <w:t>Protein coding genes coding signal peptides</w:t>
            </w:r>
          </w:p>
        </w:tc>
        <w:tc>
          <w:tcPr>
            <w:tcW w:w="0" w:type="auto"/>
            <w:shd w:val="clear" w:color="auto" w:fill="auto"/>
            <w:vAlign w:val="center"/>
            <w:hideMark/>
          </w:tcPr>
          <w:p w:rsidR="0087313D" w:rsidRPr="005B08EC" w:rsidRDefault="00A0198C" w:rsidP="00F25C3A">
            <w:hyperlink r:id="rId48" w:history="1">
              <w:r w:rsidR="0087313D" w:rsidRPr="002E0812">
                <w:rPr>
                  <w:rStyle w:val="Hyperlink"/>
                  <w:color w:val="auto"/>
                  <w:u w:val="none"/>
                </w:rPr>
                <w:t>78</w:t>
              </w:r>
            </w:hyperlink>
          </w:p>
        </w:tc>
        <w:tc>
          <w:tcPr>
            <w:tcW w:w="0" w:type="auto"/>
            <w:shd w:val="clear" w:color="auto" w:fill="auto"/>
            <w:vAlign w:val="center"/>
            <w:hideMark/>
          </w:tcPr>
          <w:p w:rsidR="0087313D" w:rsidRPr="005B08EC" w:rsidRDefault="0087313D" w:rsidP="00F25C3A">
            <w:r w:rsidRPr="005B08EC">
              <w:t>2.64%</w:t>
            </w:r>
          </w:p>
        </w:tc>
      </w:tr>
      <w:tr w:rsidR="0087313D" w:rsidRPr="005B08EC" w:rsidTr="00F25C3A">
        <w:trPr>
          <w:jc w:val="center"/>
        </w:trPr>
        <w:tc>
          <w:tcPr>
            <w:tcW w:w="0" w:type="auto"/>
            <w:shd w:val="clear" w:color="auto" w:fill="auto"/>
            <w:vAlign w:val="center"/>
            <w:hideMark/>
          </w:tcPr>
          <w:p w:rsidR="0087313D" w:rsidRPr="005B08EC" w:rsidRDefault="0087313D" w:rsidP="00F25C3A">
            <w:r w:rsidRPr="005B08EC">
              <w:t>Protein coding genes coding transmembrane proteins</w:t>
            </w:r>
          </w:p>
        </w:tc>
        <w:tc>
          <w:tcPr>
            <w:tcW w:w="0" w:type="auto"/>
            <w:shd w:val="clear" w:color="auto" w:fill="auto"/>
            <w:vAlign w:val="center"/>
            <w:hideMark/>
          </w:tcPr>
          <w:p w:rsidR="0087313D" w:rsidRPr="005B08EC" w:rsidRDefault="00A0198C" w:rsidP="00F25C3A">
            <w:hyperlink r:id="rId49" w:history="1">
              <w:r w:rsidR="0087313D" w:rsidRPr="002E0812">
                <w:rPr>
                  <w:rStyle w:val="Hyperlink"/>
                  <w:color w:val="auto"/>
                  <w:u w:val="none"/>
                </w:rPr>
                <w:t>611</w:t>
              </w:r>
            </w:hyperlink>
          </w:p>
        </w:tc>
        <w:tc>
          <w:tcPr>
            <w:tcW w:w="0" w:type="auto"/>
            <w:shd w:val="clear" w:color="auto" w:fill="auto"/>
            <w:vAlign w:val="center"/>
            <w:hideMark/>
          </w:tcPr>
          <w:p w:rsidR="0087313D" w:rsidRPr="005B08EC" w:rsidRDefault="0087313D" w:rsidP="00F25C3A">
            <w:r w:rsidRPr="005B08EC">
              <w:t>20.70%</w:t>
            </w:r>
          </w:p>
        </w:tc>
      </w:tr>
      <w:tr w:rsidR="0087313D" w:rsidRPr="005B08EC" w:rsidTr="00F25C3A">
        <w:trPr>
          <w:jc w:val="center"/>
        </w:trPr>
        <w:tc>
          <w:tcPr>
            <w:tcW w:w="0" w:type="auto"/>
            <w:shd w:val="clear" w:color="auto" w:fill="auto"/>
            <w:vAlign w:val="center"/>
            <w:hideMark/>
          </w:tcPr>
          <w:p w:rsidR="0087313D" w:rsidRPr="005B08EC" w:rsidRDefault="0087313D" w:rsidP="00F25C3A">
            <w:r w:rsidRPr="005B08EC">
              <w:t>COG clusters</w:t>
            </w:r>
          </w:p>
        </w:tc>
        <w:tc>
          <w:tcPr>
            <w:tcW w:w="0" w:type="auto"/>
            <w:shd w:val="clear" w:color="auto" w:fill="auto"/>
            <w:vAlign w:val="center"/>
            <w:hideMark/>
          </w:tcPr>
          <w:p w:rsidR="0087313D" w:rsidRPr="005B08EC" w:rsidRDefault="0087313D" w:rsidP="00F25C3A">
            <w:r w:rsidRPr="005B08EC">
              <w:t>1156</w:t>
            </w:r>
          </w:p>
        </w:tc>
        <w:tc>
          <w:tcPr>
            <w:tcW w:w="0" w:type="auto"/>
            <w:shd w:val="clear" w:color="auto" w:fill="auto"/>
            <w:vAlign w:val="center"/>
            <w:hideMark/>
          </w:tcPr>
          <w:p w:rsidR="0087313D" w:rsidRPr="005B08EC" w:rsidRDefault="0087313D" w:rsidP="00F25C3A">
            <w:r w:rsidRPr="005B08EC">
              <w:t>69.81%</w:t>
            </w:r>
          </w:p>
        </w:tc>
      </w:tr>
      <w:tr w:rsidR="0087313D" w:rsidRPr="005B08EC" w:rsidTr="00F25C3A">
        <w:trPr>
          <w:jc w:val="center"/>
        </w:trPr>
        <w:tc>
          <w:tcPr>
            <w:tcW w:w="0" w:type="auto"/>
            <w:shd w:val="clear" w:color="auto" w:fill="auto"/>
            <w:vAlign w:val="center"/>
            <w:hideMark/>
          </w:tcPr>
          <w:p w:rsidR="0087313D" w:rsidRPr="005B08EC" w:rsidRDefault="0087313D" w:rsidP="00F25C3A">
            <w:r w:rsidRPr="005B08EC">
              <w:t>KOG clusters</w:t>
            </w:r>
          </w:p>
        </w:tc>
        <w:tc>
          <w:tcPr>
            <w:tcW w:w="0" w:type="auto"/>
            <w:shd w:val="clear" w:color="auto" w:fill="auto"/>
            <w:vAlign w:val="center"/>
            <w:hideMark/>
          </w:tcPr>
          <w:p w:rsidR="0087313D" w:rsidRPr="005B08EC" w:rsidRDefault="0087313D" w:rsidP="00F25C3A">
            <w:r w:rsidRPr="005B08EC">
              <w:t>322</w:t>
            </w:r>
          </w:p>
        </w:tc>
        <w:tc>
          <w:tcPr>
            <w:tcW w:w="0" w:type="auto"/>
            <w:shd w:val="clear" w:color="auto" w:fill="auto"/>
            <w:vAlign w:val="center"/>
            <w:hideMark/>
          </w:tcPr>
          <w:p w:rsidR="0087313D" w:rsidRPr="005B08EC" w:rsidRDefault="0087313D" w:rsidP="00F25C3A">
            <w:r w:rsidRPr="005B08EC">
              <w:t>19.44%</w:t>
            </w:r>
          </w:p>
        </w:tc>
      </w:tr>
      <w:tr w:rsidR="0087313D" w:rsidRPr="005B08EC" w:rsidTr="00F25C3A">
        <w:trPr>
          <w:jc w:val="center"/>
        </w:trPr>
        <w:tc>
          <w:tcPr>
            <w:tcW w:w="0" w:type="auto"/>
            <w:shd w:val="clear" w:color="auto" w:fill="auto"/>
            <w:vAlign w:val="center"/>
            <w:hideMark/>
          </w:tcPr>
          <w:p w:rsidR="0087313D" w:rsidRPr="005B08EC" w:rsidRDefault="0087313D" w:rsidP="00F25C3A">
            <w:r w:rsidRPr="005B08EC">
              <w:t>Pfam clusters</w:t>
            </w:r>
          </w:p>
        </w:tc>
        <w:tc>
          <w:tcPr>
            <w:tcW w:w="0" w:type="auto"/>
            <w:shd w:val="clear" w:color="auto" w:fill="auto"/>
            <w:vAlign w:val="center"/>
            <w:hideMark/>
          </w:tcPr>
          <w:p w:rsidR="0087313D" w:rsidRPr="005B08EC" w:rsidRDefault="0087313D" w:rsidP="00F25C3A">
            <w:r w:rsidRPr="005B08EC">
              <w:t>1683</w:t>
            </w:r>
          </w:p>
        </w:tc>
        <w:tc>
          <w:tcPr>
            <w:tcW w:w="0" w:type="auto"/>
            <w:shd w:val="clear" w:color="auto" w:fill="auto"/>
            <w:vAlign w:val="center"/>
            <w:hideMark/>
          </w:tcPr>
          <w:p w:rsidR="0087313D" w:rsidRPr="005B08EC" w:rsidRDefault="0087313D" w:rsidP="00F25C3A">
            <w:r w:rsidRPr="005B08EC">
              <w:t>73.56%</w:t>
            </w:r>
          </w:p>
        </w:tc>
      </w:tr>
      <w:tr w:rsidR="0087313D" w:rsidRPr="005B08EC" w:rsidTr="00F25C3A">
        <w:trPr>
          <w:jc w:val="center"/>
        </w:trPr>
        <w:tc>
          <w:tcPr>
            <w:tcW w:w="0" w:type="auto"/>
            <w:shd w:val="clear" w:color="auto" w:fill="auto"/>
            <w:vAlign w:val="center"/>
            <w:hideMark/>
          </w:tcPr>
          <w:p w:rsidR="0087313D" w:rsidRPr="005B08EC" w:rsidRDefault="0087313D" w:rsidP="00F25C3A">
            <w:r w:rsidRPr="005B08EC">
              <w:t>TIGRfam clusters</w:t>
            </w:r>
          </w:p>
        </w:tc>
        <w:tc>
          <w:tcPr>
            <w:tcW w:w="0" w:type="auto"/>
            <w:shd w:val="clear" w:color="auto" w:fill="auto"/>
            <w:vAlign w:val="center"/>
            <w:hideMark/>
          </w:tcPr>
          <w:p w:rsidR="0087313D" w:rsidRPr="005B08EC" w:rsidRDefault="0087313D" w:rsidP="00F25C3A">
            <w:r w:rsidRPr="005B08EC">
              <w:t>891</w:t>
            </w:r>
          </w:p>
        </w:tc>
        <w:tc>
          <w:tcPr>
            <w:tcW w:w="0" w:type="auto"/>
            <w:shd w:val="clear" w:color="auto" w:fill="auto"/>
            <w:vAlign w:val="center"/>
            <w:hideMark/>
          </w:tcPr>
          <w:p w:rsidR="0087313D" w:rsidRPr="005B08EC" w:rsidRDefault="0087313D" w:rsidP="00F25C3A">
            <w:r w:rsidRPr="005B08EC">
              <w:t>87.18%</w:t>
            </w:r>
          </w:p>
        </w:tc>
      </w:tr>
      <w:tr w:rsidR="0087313D" w:rsidRPr="005B08EC" w:rsidTr="00F25C3A">
        <w:trPr>
          <w:jc w:val="center"/>
        </w:trPr>
        <w:tc>
          <w:tcPr>
            <w:tcW w:w="0" w:type="auto"/>
            <w:shd w:val="clear" w:color="auto" w:fill="auto"/>
            <w:vAlign w:val="center"/>
            <w:hideMark/>
          </w:tcPr>
          <w:p w:rsidR="0087313D" w:rsidRPr="005B08EC" w:rsidRDefault="0087313D" w:rsidP="00F25C3A">
            <w:r w:rsidRPr="005B08EC">
              <w:t>Internal clusters</w:t>
            </w:r>
          </w:p>
        </w:tc>
        <w:tc>
          <w:tcPr>
            <w:tcW w:w="0" w:type="auto"/>
            <w:shd w:val="clear" w:color="auto" w:fill="auto"/>
            <w:vAlign w:val="center"/>
            <w:hideMark/>
          </w:tcPr>
          <w:p w:rsidR="0087313D" w:rsidRPr="005B08EC" w:rsidRDefault="0087313D" w:rsidP="00F25C3A">
            <w:r w:rsidRPr="005B08EC">
              <w:t>185</w:t>
            </w:r>
          </w:p>
        </w:tc>
        <w:tc>
          <w:tcPr>
            <w:tcW w:w="0" w:type="auto"/>
            <w:shd w:val="clear" w:color="auto" w:fill="auto"/>
            <w:vAlign w:val="center"/>
            <w:hideMark/>
          </w:tcPr>
          <w:p w:rsidR="0087313D" w:rsidRPr="005B08EC" w:rsidRDefault="0087313D" w:rsidP="00F25C3A"/>
        </w:tc>
      </w:tr>
    </w:tbl>
    <w:p w:rsidR="0087313D" w:rsidRPr="005B08EC" w:rsidRDefault="0087313D" w:rsidP="0087313D">
      <w:pPr>
        <w:rPr>
          <w:lang w:val="en-US"/>
        </w:rPr>
      </w:pPr>
    </w:p>
    <w:bookmarkEnd w:id="3"/>
    <w:p w:rsidR="00416D79" w:rsidRPr="005B08EC" w:rsidRDefault="00416D79" w:rsidP="00246AC7">
      <w:pPr>
        <w:rPr>
          <w:lang w:val="en-US"/>
        </w:rPr>
      </w:pPr>
    </w:p>
    <w:sectPr w:rsidR="00416D79" w:rsidRPr="005B08EC" w:rsidSect="003F6314">
      <w:pgSz w:w="11906" w:h="16838"/>
      <w:pgMar w:top="1417" w:right="1417" w:bottom="1134" w:left="1417" w:header="708" w:footer="708" w:gutter="0"/>
      <w:lnNumType w:countBy="1" w:restart="continuou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5C3A" w:rsidRDefault="00F25C3A">
      <w:pPr>
        <w:spacing w:after="0" w:line="240" w:lineRule="auto"/>
      </w:pPr>
      <w:r>
        <w:separator/>
      </w:r>
    </w:p>
  </w:endnote>
  <w:endnote w:type="continuationSeparator" w:id="0">
    <w:p w:rsidR="00F25C3A" w:rsidRDefault="00F25C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8385649"/>
      <w:docPartObj>
        <w:docPartGallery w:val="Page Numbers (Bottom of Page)"/>
        <w:docPartUnique/>
      </w:docPartObj>
    </w:sdtPr>
    <w:sdtEndPr>
      <w:rPr>
        <w:noProof/>
      </w:rPr>
    </w:sdtEndPr>
    <w:sdtContent>
      <w:p w:rsidR="00F25C3A" w:rsidRPr="00121037" w:rsidRDefault="00F25C3A">
        <w:pPr>
          <w:pStyle w:val="Footer"/>
          <w:jc w:val="center"/>
        </w:pPr>
        <w:r w:rsidRPr="00121037">
          <w:fldChar w:fldCharType="begin"/>
        </w:r>
        <w:r w:rsidRPr="00121037">
          <w:instrText xml:space="preserve"> PAGE   \* MERGEFORMAT </w:instrText>
        </w:r>
        <w:r w:rsidRPr="00121037">
          <w:fldChar w:fldCharType="separate"/>
        </w:r>
        <w:r w:rsidR="00A0198C">
          <w:rPr>
            <w:noProof/>
          </w:rPr>
          <w:t>1</w:t>
        </w:r>
        <w:r w:rsidRPr="00121037">
          <w:rPr>
            <w:noProof/>
          </w:rPr>
          <w:fldChar w:fldCharType="end"/>
        </w:r>
      </w:p>
    </w:sdtContent>
  </w:sdt>
  <w:p w:rsidR="00F25C3A" w:rsidRDefault="00F25C3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6211875"/>
      <w:docPartObj>
        <w:docPartGallery w:val="Page Numbers (Bottom of Page)"/>
        <w:docPartUnique/>
      </w:docPartObj>
    </w:sdtPr>
    <w:sdtEndPr/>
    <w:sdtContent>
      <w:p w:rsidR="00F25C3A" w:rsidRPr="00B24163" w:rsidRDefault="00F25C3A">
        <w:pPr>
          <w:pStyle w:val="Footer"/>
          <w:jc w:val="center"/>
        </w:pPr>
        <w:r w:rsidRPr="00B24163">
          <w:fldChar w:fldCharType="begin"/>
        </w:r>
        <w:r w:rsidRPr="00B24163">
          <w:instrText>PAGE</w:instrText>
        </w:r>
        <w:r w:rsidRPr="00B24163">
          <w:fldChar w:fldCharType="separate"/>
        </w:r>
        <w:r w:rsidR="00A0198C">
          <w:rPr>
            <w:noProof/>
          </w:rPr>
          <w:t>11</w:t>
        </w:r>
        <w:r w:rsidRPr="00B24163">
          <w:fldChar w:fldCharType="end"/>
        </w:r>
      </w:p>
      <w:p w:rsidR="00F25C3A" w:rsidRDefault="00A0198C">
        <w:pPr>
          <w:pStyle w:val="Foote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5C3A" w:rsidRDefault="00F25C3A">
      <w:pPr>
        <w:spacing w:after="0" w:line="240" w:lineRule="auto"/>
      </w:pPr>
      <w:r>
        <w:separator/>
      </w:r>
    </w:p>
  </w:footnote>
  <w:footnote w:type="continuationSeparator" w:id="0">
    <w:p w:rsidR="00F25C3A" w:rsidRDefault="00F25C3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Layout" w:val="&lt;ENLayout&gt;&lt;Style&gt;FEMS Microbiology Ecology Copy&lt;/Style&gt;&lt;LeftDelim&gt;{&lt;/LeftDelim&gt;&lt;RightDelim&gt;}&lt;/RightDelim&gt;&lt;FontName&gt;Times New Roman&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wta5x0vxea55r3eterm59stcwfp0zwdzs02r&quot;&gt;xiyangdong&lt;record-ids&gt;&lt;item&gt;377&lt;/item&gt;&lt;item&gt;560&lt;/item&gt;&lt;/record-ids&gt;&lt;/item&gt;&lt;/Libraries&gt;"/>
  </w:docVars>
  <w:rsids>
    <w:rsidRoot w:val="003F6314"/>
    <w:rsid w:val="000343E9"/>
    <w:rsid w:val="000A2662"/>
    <w:rsid w:val="00120BE5"/>
    <w:rsid w:val="0018532C"/>
    <w:rsid w:val="001B73E1"/>
    <w:rsid w:val="00241D57"/>
    <w:rsid w:val="00246AC7"/>
    <w:rsid w:val="002E0812"/>
    <w:rsid w:val="00331FC0"/>
    <w:rsid w:val="003F6314"/>
    <w:rsid w:val="00416D79"/>
    <w:rsid w:val="00466990"/>
    <w:rsid w:val="00481FE0"/>
    <w:rsid w:val="004C5511"/>
    <w:rsid w:val="0050570B"/>
    <w:rsid w:val="005A4E90"/>
    <w:rsid w:val="005B08EC"/>
    <w:rsid w:val="006437C8"/>
    <w:rsid w:val="006C07AE"/>
    <w:rsid w:val="006E2B3A"/>
    <w:rsid w:val="006E55FE"/>
    <w:rsid w:val="006F5531"/>
    <w:rsid w:val="0072219D"/>
    <w:rsid w:val="007A00F1"/>
    <w:rsid w:val="0087313D"/>
    <w:rsid w:val="008B3083"/>
    <w:rsid w:val="008E1FC3"/>
    <w:rsid w:val="00936679"/>
    <w:rsid w:val="009C012F"/>
    <w:rsid w:val="009D1C2A"/>
    <w:rsid w:val="00A0198C"/>
    <w:rsid w:val="00B23300"/>
    <w:rsid w:val="00B4206C"/>
    <w:rsid w:val="00B5419D"/>
    <w:rsid w:val="00B82E9E"/>
    <w:rsid w:val="00B90988"/>
    <w:rsid w:val="00BC1C9F"/>
    <w:rsid w:val="00C41BF4"/>
    <w:rsid w:val="00D41E5F"/>
    <w:rsid w:val="00D91E5E"/>
    <w:rsid w:val="00DA082A"/>
    <w:rsid w:val="00E00EB4"/>
    <w:rsid w:val="00E53A0E"/>
    <w:rsid w:val="00EA5F1F"/>
    <w:rsid w:val="00F06883"/>
    <w:rsid w:val="00F25C3A"/>
    <w:rsid w:val="00FD42D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8B00AC-5CBF-488A-8092-B9B80B037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6314"/>
    <w:rPr>
      <w:rFonts w:ascii="Times New Roman" w:eastAsia="SimSu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F6314"/>
    <w:pPr>
      <w:tabs>
        <w:tab w:val="center" w:pos="4513"/>
        <w:tab w:val="right" w:pos="9026"/>
      </w:tabs>
      <w:spacing w:after="0" w:line="240" w:lineRule="auto"/>
    </w:pPr>
  </w:style>
  <w:style w:type="character" w:customStyle="1" w:styleId="FooterChar">
    <w:name w:val="Footer Char"/>
    <w:basedOn w:val="DefaultParagraphFont"/>
    <w:link w:val="Footer"/>
    <w:uiPriority w:val="99"/>
    <w:qFormat/>
    <w:rsid w:val="003F6314"/>
    <w:rPr>
      <w:rFonts w:ascii="Times New Roman" w:eastAsia="SimSun" w:hAnsi="Times New Roman" w:cs="Times New Roman"/>
    </w:rPr>
  </w:style>
  <w:style w:type="paragraph" w:styleId="Title">
    <w:name w:val="Title"/>
    <w:basedOn w:val="Normal"/>
    <w:next w:val="Normal"/>
    <w:link w:val="TitleChar"/>
    <w:uiPriority w:val="10"/>
    <w:qFormat/>
    <w:rsid w:val="003F6314"/>
    <w:pPr>
      <w:spacing w:after="0" w:line="240" w:lineRule="auto"/>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3F6314"/>
    <w:rPr>
      <w:rFonts w:ascii="Calibri Light" w:eastAsia="SimSun" w:hAnsi="Calibri Light" w:cs="Times New Roman"/>
      <w:spacing w:val="-10"/>
      <w:kern w:val="28"/>
      <w:sz w:val="56"/>
      <w:szCs w:val="56"/>
    </w:rPr>
  </w:style>
  <w:style w:type="character" w:styleId="Hyperlink">
    <w:name w:val="Hyperlink"/>
    <w:uiPriority w:val="99"/>
    <w:unhideWhenUsed/>
    <w:rsid w:val="003F6314"/>
    <w:rPr>
      <w:color w:val="0563C1"/>
      <w:u w:val="single"/>
    </w:rPr>
  </w:style>
  <w:style w:type="character" w:styleId="LineNumber">
    <w:name w:val="line number"/>
    <w:basedOn w:val="DefaultParagraphFont"/>
    <w:uiPriority w:val="99"/>
    <w:semiHidden/>
    <w:unhideWhenUsed/>
    <w:rsid w:val="003F6314"/>
  </w:style>
  <w:style w:type="character" w:styleId="FollowedHyperlink">
    <w:name w:val="FollowedHyperlink"/>
    <w:basedOn w:val="DefaultParagraphFont"/>
    <w:uiPriority w:val="99"/>
    <w:semiHidden/>
    <w:unhideWhenUsed/>
    <w:rsid w:val="00F06883"/>
    <w:rPr>
      <w:color w:val="954F72"/>
      <w:u w:val="single"/>
    </w:rPr>
  </w:style>
  <w:style w:type="paragraph" w:customStyle="1" w:styleId="xl65">
    <w:name w:val="xl65"/>
    <w:basedOn w:val="Normal"/>
    <w:rsid w:val="00F06883"/>
    <w:pPr>
      <w:spacing w:before="100" w:beforeAutospacing="1" w:after="100" w:afterAutospacing="1" w:line="240" w:lineRule="auto"/>
      <w:jc w:val="center"/>
    </w:pPr>
    <w:rPr>
      <w:rFonts w:eastAsia="Times New Roman"/>
      <w:sz w:val="24"/>
      <w:szCs w:val="24"/>
    </w:rPr>
  </w:style>
  <w:style w:type="paragraph" w:customStyle="1" w:styleId="xl66">
    <w:name w:val="xl66"/>
    <w:basedOn w:val="Normal"/>
    <w:rsid w:val="00F06883"/>
    <w:pPr>
      <w:spacing w:before="100" w:beforeAutospacing="1" w:after="100" w:afterAutospacing="1" w:line="240" w:lineRule="auto"/>
      <w:jc w:val="center"/>
    </w:pPr>
    <w:rPr>
      <w:rFonts w:eastAsia="Times New Roman"/>
      <w:sz w:val="20"/>
      <w:szCs w:val="20"/>
    </w:rPr>
  </w:style>
  <w:style w:type="paragraph" w:customStyle="1" w:styleId="xl67">
    <w:name w:val="xl67"/>
    <w:basedOn w:val="Normal"/>
    <w:rsid w:val="00F06883"/>
    <w:pPr>
      <w:spacing w:before="100" w:beforeAutospacing="1" w:after="100" w:afterAutospacing="1" w:line="240" w:lineRule="auto"/>
      <w:jc w:val="center"/>
    </w:pPr>
    <w:rPr>
      <w:rFonts w:eastAsia="Times New Roman"/>
      <w:sz w:val="20"/>
      <w:szCs w:val="20"/>
    </w:rPr>
  </w:style>
  <w:style w:type="paragraph" w:customStyle="1" w:styleId="xl68">
    <w:name w:val="xl68"/>
    <w:basedOn w:val="Normal"/>
    <w:rsid w:val="00F068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0"/>
      <w:szCs w:val="20"/>
    </w:rPr>
  </w:style>
  <w:style w:type="paragraph" w:customStyle="1" w:styleId="xl69">
    <w:name w:val="xl69"/>
    <w:basedOn w:val="Normal"/>
    <w:rsid w:val="00F06883"/>
    <w:pPr>
      <w:spacing w:before="100" w:beforeAutospacing="1" w:after="100" w:afterAutospacing="1" w:line="240" w:lineRule="auto"/>
      <w:jc w:val="center"/>
    </w:pPr>
    <w:rPr>
      <w:rFonts w:eastAsia="Times New Roman"/>
      <w:sz w:val="24"/>
      <w:szCs w:val="24"/>
    </w:rPr>
  </w:style>
  <w:style w:type="paragraph" w:customStyle="1" w:styleId="xl70">
    <w:name w:val="xl70"/>
    <w:basedOn w:val="Normal"/>
    <w:rsid w:val="00F06883"/>
    <w:pPr>
      <w:spacing w:before="100" w:beforeAutospacing="1" w:after="100" w:afterAutospacing="1" w:line="240" w:lineRule="auto"/>
      <w:jc w:val="center"/>
    </w:pPr>
    <w:rPr>
      <w:rFonts w:eastAsia="Times New Roman"/>
      <w:color w:val="FF0000"/>
      <w:sz w:val="24"/>
      <w:szCs w:val="24"/>
    </w:rPr>
  </w:style>
  <w:style w:type="table" w:styleId="TableGrid">
    <w:name w:val="Table Grid"/>
    <w:basedOn w:val="TableNormal"/>
    <w:uiPriority w:val="39"/>
    <w:rsid w:val="00F06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C1C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C9F"/>
    <w:rPr>
      <w:rFonts w:ascii="Segoe UI" w:eastAsia="SimSun" w:hAnsi="Segoe UI" w:cs="Segoe UI"/>
      <w:sz w:val="18"/>
      <w:szCs w:val="18"/>
    </w:rPr>
  </w:style>
  <w:style w:type="paragraph" w:customStyle="1" w:styleId="EndNoteBibliographyTitle">
    <w:name w:val="EndNote Bibliography Title"/>
    <w:basedOn w:val="Normal"/>
    <w:link w:val="EndNoteBibliographyTitleChar"/>
    <w:rsid w:val="005B08EC"/>
    <w:pPr>
      <w:spacing w:after="0"/>
      <w:jc w:val="center"/>
    </w:pPr>
    <w:rPr>
      <w:noProof/>
    </w:rPr>
  </w:style>
  <w:style w:type="character" w:customStyle="1" w:styleId="EndNoteBibliographyTitleChar">
    <w:name w:val="EndNote Bibliography Title Char"/>
    <w:basedOn w:val="TitleChar"/>
    <w:link w:val="EndNoteBibliographyTitle"/>
    <w:rsid w:val="005B08EC"/>
    <w:rPr>
      <w:rFonts w:ascii="Times New Roman" w:eastAsia="SimSun" w:hAnsi="Times New Roman" w:cs="Times New Roman"/>
      <w:noProof/>
      <w:spacing w:val="-10"/>
      <w:kern w:val="28"/>
      <w:sz w:val="56"/>
      <w:szCs w:val="56"/>
    </w:rPr>
  </w:style>
  <w:style w:type="paragraph" w:customStyle="1" w:styleId="EndNoteBibliography">
    <w:name w:val="EndNote Bibliography"/>
    <w:basedOn w:val="Normal"/>
    <w:link w:val="EndNoteBibliographyChar"/>
    <w:rsid w:val="005B08EC"/>
    <w:pPr>
      <w:spacing w:line="240" w:lineRule="auto"/>
    </w:pPr>
    <w:rPr>
      <w:noProof/>
    </w:rPr>
  </w:style>
  <w:style w:type="character" w:customStyle="1" w:styleId="EndNoteBibliographyChar">
    <w:name w:val="EndNote Bibliography Char"/>
    <w:basedOn w:val="TitleChar"/>
    <w:link w:val="EndNoteBibliography"/>
    <w:rsid w:val="005B08EC"/>
    <w:rPr>
      <w:rFonts w:ascii="Times New Roman" w:eastAsia="SimSun" w:hAnsi="Times New Roman" w:cs="Times New Roman"/>
      <w:noProof/>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215911">
      <w:bodyDiv w:val="1"/>
      <w:marLeft w:val="0"/>
      <w:marRight w:val="0"/>
      <w:marTop w:val="0"/>
      <w:marBottom w:val="0"/>
      <w:divBdr>
        <w:top w:val="none" w:sz="0" w:space="0" w:color="auto"/>
        <w:left w:val="none" w:sz="0" w:space="0" w:color="auto"/>
        <w:bottom w:val="none" w:sz="0" w:space="0" w:color="auto"/>
        <w:right w:val="none" w:sz="0" w:space="0" w:color="auto"/>
      </w:divBdr>
    </w:div>
    <w:div w:id="773935354">
      <w:bodyDiv w:val="1"/>
      <w:marLeft w:val="0"/>
      <w:marRight w:val="0"/>
      <w:marTop w:val="0"/>
      <w:marBottom w:val="0"/>
      <w:divBdr>
        <w:top w:val="none" w:sz="0" w:space="0" w:color="auto"/>
        <w:left w:val="none" w:sz="0" w:space="0" w:color="auto"/>
        <w:bottom w:val="none" w:sz="0" w:space="0" w:color="auto"/>
        <w:right w:val="none" w:sz="0" w:space="0" w:color="auto"/>
      </w:divBdr>
    </w:div>
    <w:div w:id="953630400">
      <w:bodyDiv w:val="1"/>
      <w:marLeft w:val="0"/>
      <w:marRight w:val="0"/>
      <w:marTop w:val="0"/>
      <w:marBottom w:val="0"/>
      <w:divBdr>
        <w:top w:val="none" w:sz="0" w:space="0" w:color="auto"/>
        <w:left w:val="none" w:sz="0" w:space="0" w:color="auto"/>
        <w:bottom w:val="none" w:sz="0" w:space="0" w:color="auto"/>
        <w:right w:val="none" w:sz="0" w:space="0" w:color="auto"/>
      </w:divBdr>
    </w:div>
    <w:div w:id="1188527224">
      <w:bodyDiv w:val="1"/>
      <w:marLeft w:val="0"/>
      <w:marRight w:val="0"/>
      <w:marTop w:val="0"/>
      <w:marBottom w:val="0"/>
      <w:divBdr>
        <w:top w:val="none" w:sz="0" w:space="0" w:color="auto"/>
        <w:left w:val="none" w:sz="0" w:space="0" w:color="auto"/>
        <w:bottom w:val="none" w:sz="0" w:space="0" w:color="auto"/>
        <w:right w:val="none" w:sz="0" w:space="0" w:color="auto"/>
      </w:divBdr>
    </w:div>
    <w:div w:id="1649551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hyperlink" Target="https://img.jgi.doe.gov/cgi-bin/mer/main.cgi?section=TaxonDetail&amp;page=rnas&amp;taxon_oid=2617270890" TargetMode="External"/><Relationship Id="rId26" Type="http://schemas.openxmlformats.org/officeDocument/2006/relationships/hyperlink" Target="https://img.jgi.doe.gov/cgi-bin/mer/main.cgi?section=TaxonDetail&amp;page=enzymes&amp;taxon_oid=2617270890" TargetMode="External"/><Relationship Id="rId39" Type="http://schemas.openxmlformats.org/officeDocument/2006/relationships/hyperlink" Target="https://img.jgi.doe.gov/cgi-bin/mer/main.cgi?section=TaxonDetail&amp;page=imgTerms&amp;taxon_oid=2617270890" TargetMode="External"/><Relationship Id="rId3" Type="http://schemas.openxmlformats.org/officeDocument/2006/relationships/settings" Target="settings.xml"/><Relationship Id="rId21" Type="http://schemas.openxmlformats.org/officeDocument/2006/relationships/hyperlink" Target="https://img.jgi.doe.gov/cgi-bin/mer/main.cgi?section=TaxonDetail&amp;page=rnas&amp;taxon_oid=2617270890&amp;locus_type=rRNA&amp;gene_symbol=23S" TargetMode="External"/><Relationship Id="rId34" Type="http://schemas.openxmlformats.org/officeDocument/2006/relationships/hyperlink" Target="https://img.jgi.doe.gov/cgi-bin/mer/main.cgi?section=TaxonDetail&amp;page=cogs&amp;cat=cat&amp;taxon_oid=2617270890" TargetMode="External"/><Relationship Id="rId42" Type="http://schemas.openxmlformats.org/officeDocument/2006/relationships/hyperlink" Target="https://img.jgi.doe.gov/cgi-bin/mer/main.cgi?section=TaxonDetail&amp;page=paralogGroups&amp;taxon_oid=2617270890" TargetMode="External"/><Relationship Id="rId47" Type="http://schemas.openxmlformats.org/officeDocument/2006/relationships/hyperlink" Target="https://img.jgi.doe.gov/cgi-bin/mer/main.cgi?section=TaxonDetail&amp;page=fusedGenes&amp;taxon_oid=2617270890" TargetMode="External"/><Relationship Id="rId50" Type="http://schemas.openxmlformats.org/officeDocument/2006/relationships/fontTable" Target="fontTable.xml"/><Relationship Id="rId7" Type="http://schemas.openxmlformats.org/officeDocument/2006/relationships/hyperlink" Target="mailto:rainer.meckenstock@uni-due.de" TargetMode="External"/><Relationship Id="rId12" Type="http://schemas.openxmlformats.org/officeDocument/2006/relationships/image" Target="media/image4.png"/><Relationship Id="rId17" Type="http://schemas.openxmlformats.org/officeDocument/2006/relationships/hyperlink" Target="https://img.jgi.doe.gov/cgi-bin/mer/main.cgi?section=TaxonDetail&amp;page=proteinCodingGenes&amp;taxon_oid=2617270890" TargetMode="External"/><Relationship Id="rId25" Type="http://schemas.openxmlformats.org/officeDocument/2006/relationships/hyperlink" Target="https://img.jgi.doe.gov/cgi-bin/mer/main.cgi?section=TaxonDetail&amp;page=withoutFunc&amp;taxon_oid=2617270890" TargetMode="External"/><Relationship Id="rId33" Type="http://schemas.openxmlformats.org/officeDocument/2006/relationships/hyperlink" Target="https://img.jgi.doe.gov/cgi-bin/mer/main.cgi?section=TaxonDetail&amp;page=noMetacyc&amp;taxon_oid=2617270890" TargetMode="External"/><Relationship Id="rId38" Type="http://schemas.openxmlformats.org/officeDocument/2006/relationships/hyperlink" Target="https://img.jgi.doe.gov/cgi-bin/mer/main.cgi?section=TaxonDetail&amp;page=ipr&amp;taxon_oid=2617270890" TargetMode="External"/><Relationship Id="rId46" Type="http://schemas.openxmlformats.org/officeDocument/2006/relationships/hyperlink" Target="https://img.jgi.doe.gov/cgi-bin/mer/main.cgi?section=BiosyntheticDetail&amp;page=biosynthetic_genes&amp;taxon_oid=2617270890" TargetMode="External"/><Relationship Id="rId2" Type="http://schemas.openxmlformats.org/officeDocument/2006/relationships/styles" Target="styles.xml"/><Relationship Id="rId16" Type="http://schemas.openxmlformats.org/officeDocument/2006/relationships/hyperlink" Target="https://img.jgi.doe.gov/cgi-bin/mer/main.cgi?section=TaxonDetail&amp;page=scaffolds&amp;taxon_oid=2617270890" TargetMode="External"/><Relationship Id="rId20" Type="http://schemas.openxmlformats.org/officeDocument/2006/relationships/hyperlink" Target="https://img.jgi.doe.gov/cgi-bin/mer/main.cgi?section=TaxonDetail&amp;page=rnas&amp;taxon_oid=2617270890&amp;locus_type=rRNA&amp;gene_symbol=5S" TargetMode="External"/><Relationship Id="rId29" Type="http://schemas.openxmlformats.org/officeDocument/2006/relationships/hyperlink" Target="https://img.jgi.doe.gov/cgi-bin/mer/main.cgi?section=TaxonDetail&amp;page=noKegg&amp;taxon_oid=2617270890" TargetMode="External"/><Relationship Id="rId41" Type="http://schemas.openxmlformats.org/officeDocument/2006/relationships/hyperlink" Target="https://img.jgi.doe.gov/cgi-bin/mer/main.cgi?section=TaxonDetail&amp;page=imgPlist&amp;taxon_oid=2617270890"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yperlink" Target="https://img.jgi.doe.gov/cgi-bin/mer/main.cgi?section=TaxonDetail&amp;page=withFunc&amp;taxon_oid=2617270890" TargetMode="External"/><Relationship Id="rId32" Type="http://schemas.openxmlformats.org/officeDocument/2006/relationships/hyperlink" Target="https://img.jgi.doe.gov/cgi-bin/mer/main.cgi?section=TaxonDetail&amp;page=metacyc&amp;taxon_oid=2617270890" TargetMode="External"/><Relationship Id="rId37" Type="http://schemas.openxmlformats.org/officeDocument/2006/relationships/hyperlink" Target="https://img.jgi.doe.gov/cgi-bin/mer/main.cgi?section=TaxonDetail&amp;page=tigrfam&amp;cat=cat&amp;taxon_oid=2617270890" TargetMode="External"/><Relationship Id="rId40" Type="http://schemas.openxmlformats.org/officeDocument/2006/relationships/hyperlink" Target="https://img.jgi.doe.gov/cgi-bin/mer/main.cgi?section=TaxonDetail&amp;page=imgPways&amp;taxon_oid=2617270890" TargetMode="External"/><Relationship Id="rId45" Type="http://schemas.openxmlformats.org/officeDocument/2006/relationships/hyperlink" Target="https://img.jgi.doe.gov/cgi-bin/mer/main.cgi?section=BiosyntheticDetail&amp;page=biosynthetic_clusters&amp;taxon_oid=2617270890" TargetMode="Externa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hyperlink" Target="https://img.jgi.doe.gov/cgi-bin/mer/main.cgi?section=TaxonDetail&amp;page=rnas&amp;taxon_oid=2617270890&amp;locus_type=xRNA" TargetMode="External"/><Relationship Id="rId28" Type="http://schemas.openxmlformats.org/officeDocument/2006/relationships/hyperlink" Target="https://img.jgi.doe.gov/cgi-bin/mer/main.cgi?section=TaxonDetail&amp;page=kegg&amp;cat=cat&amp;taxon_oid=2617270890" TargetMode="External"/><Relationship Id="rId36" Type="http://schemas.openxmlformats.org/officeDocument/2006/relationships/hyperlink" Target="https://img.jgi.doe.gov/cgi-bin/mer/main.cgi?section=TaxonDetail&amp;page=pfam&amp;cat=cat&amp;taxon_oid=2617270890" TargetMode="External"/><Relationship Id="rId49" Type="http://schemas.openxmlformats.org/officeDocument/2006/relationships/hyperlink" Target="https://img.jgi.doe.gov/cgi-bin/mer/main.cgi?section=TaxonDetail&amp;page=transmembraneGeneList&amp;taxon_oid=2617270890" TargetMode="External"/><Relationship Id="rId10" Type="http://schemas.openxmlformats.org/officeDocument/2006/relationships/image" Target="media/image2.emf"/><Relationship Id="rId19" Type="http://schemas.openxmlformats.org/officeDocument/2006/relationships/hyperlink" Target="https://img.jgi.doe.gov/cgi-bin/mer/main.cgi?section=TaxonDetail&amp;page=rnas&amp;taxon_oid=2617270890&amp;locus_type=rRNA" TargetMode="External"/><Relationship Id="rId31" Type="http://schemas.openxmlformats.org/officeDocument/2006/relationships/hyperlink" Target="https://img.jgi.doe.gov/cgi-bin/mer/main.cgi?section=TaxonDetail&amp;page=noKo&amp;taxon_oid=2617270890" TargetMode="External"/><Relationship Id="rId44" Type="http://schemas.openxmlformats.org/officeDocument/2006/relationships/hyperlink" Target="https://img.jgi.doe.gov/cgi-bin/mer/main.cgi?section=GeneCassette&amp;page=occurrence&amp;taxon_oid=2617270890"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s://img.jgi.doe.gov/cgi-bin/mer/main.cgi?section=TaxonDetail&amp;page=rnas&amp;taxon_oid=2617270890&amp;locus_type=tRNA" TargetMode="External"/><Relationship Id="rId27" Type="http://schemas.openxmlformats.org/officeDocument/2006/relationships/hyperlink" Target="https://img.jgi.doe.gov/cgi-bin/mer/main.cgi?section=MissingGenes&amp;page=taxonGenesWithKO&amp;taxon_oid=2617270890" TargetMode="External"/><Relationship Id="rId30" Type="http://schemas.openxmlformats.org/officeDocument/2006/relationships/hyperlink" Target="https://img.jgi.doe.gov/cgi-bin/mer/main.cgi?section=TaxonDetail&amp;page=ko&amp;taxon_oid=2617270890" TargetMode="External"/><Relationship Id="rId35" Type="http://schemas.openxmlformats.org/officeDocument/2006/relationships/hyperlink" Target="https://img.jgi.doe.gov/cgi-bin/mer/main.cgi?section=TaxonDetail&amp;page=kogs&amp;cat=cat&amp;taxon_oid=2617270890" TargetMode="External"/><Relationship Id="rId43" Type="http://schemas.openxmlformats.org/officeDocument/2006/relationships/hyperlink" Target="https://img.jgi.doe.gov/cgi-bin/mer/main.cgi?section=TaxonDetail&amp;page=geneCassette&amp;taxon_oid=2617270890" TargetMode="External"/><Relationship Id="rId48" Type="http://schemas.openxmlformats.org/officeDocument/2006/relationships/hyperlink" Target="https://img.jgi.doe.gov/cgi-bin/mer/main.cgi?section=TaxonDetail&amp;page=signalpGeneList&amp;taxon_oid=2617270890" TargetMode="External"/><Relationship Id="rId8" Type="http://schemas.openxmlformats.org/officeDocument/2006/relationships/footer" Target="footer1.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9FC68-63E2-4DCA-B354-79813BDEF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F0549AD1</Template>
  <TotalTime>0</TotalTime>
  <Pages>22</Pages>
  <Words>5180</Words>
  <Characters>32640</Characters>
  <Application>Microsoft Office Word</Application>
  <DocSecurity>0</DocSecurity>
  <Lines>272</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 Xiyang</dc:creator>
  <cp:keywords/>
  <dc:description/>
  <cp:lastModifiedBy>Dong, Xiyang</cp:lastModifiedBy>
  <cp:revision>29</cp:revision>
  <dcterms:created xsi:type="dcterms:W3CDTF">2016-02-17T08:33:00Z</dcterms:created>
  <dcterms:modified xsi:type="dcterms:W3CDTF">2016-12-09T13:49:00Z</dcterms:modified>
</cp:coreProperties>
</file>